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ns1="urn:schemas-microsoft-com:vml" xmlns:ns2="urn:schemas-microsoft-com:office:office" xmlns:w="http://schemas.openxmlformats.org/wordprocessingml/2006/main">
  <w:body>
    <w:p>
      <w:pPr>
        <w:pStyle w:val="Title"/>
      </w:pPr>
      <w:r>
        <w:t xml:space="preserve">PennyPilot</w:t>
      </w:r>
      <w:r>
        <w:t xml:space="preserve"> </w:t>
      </w:r>
      <w:r>
        <w:t xml:space="preserve">—</w:t>
      </w:r>
      <w:r>
        <w:t xml:space="preserve"> </w:t>
      </w:r>
      <w:r>
        <w:t xml:space="preserve">Accord</w:t>
      </w:r>
      <w:r>
        <w:t xml:space="preserve"> </w:t>
      </w:r>
      <w:r>
        <w:t xml:space="preserve">de</w:t>
      </w:r>
      <w:r>
        <w:t xml:space="preserve"> </w:t>
      </w:r>
      <w:r>
        <w:t xml:space="preserve">sous-traitance</w:t>
      </w:r>
      <w:r>
        <w:t xml:space="preserve"> </w:t>
      </w:r>
      <w:r>
        <w:t xml:space="preserve">(DPA)</w:t>
      </w:r>
      <w:r>
        <w:t xml:space="preserve"> </w:t>
      </w:r>
      <w:r>
        <w:t xml:space="preserve">et</w:t>
      </w:r>
      <w:r>
        <w:t xml:space="preserve"> </w:t>
      </w:r>
      <w:r>
        <w:t xml:space="preserve">annexes</w:t>
      </w:r>
    </w:p>
    <w:p>
      <w:pPr>
        <w:pStyle w:val="Author"/>
      </w:pPr>
      <w:r>
        <w:t xml:space="preserve">HOLCO</w:t>
      </w:r>
      <w:r>
        <w:t xml:space="preserve"> </w:t>
      </w:r>
      <w:r>
        <w:t xml:space="preserve">INVEST</w:t>
      </w:r>
    </w:p>
    <w:p>
      <w:pPr>
        <w:pStyle w:val="Date"/>
      </w:pPr>
      <w:r>
        <w:t xml:space="preserve">Version pilote — 16 juin 2026</w:t>
      </w:r>
      <w:r>
        <w:t xml:space="preserve"/>
      </w:r>
      <w:r>
        <w:t xml:space="preserve"/>
      </w:r>
      <w:r>
        <w:t xml:space="preserve"/>
      </w:r>
      <w:r>
        <w:t xml:space="preserve"/>
      </w:r>
      <w:r>
        <w:t xml:space="preserve"/>
      </w:r>
      <w:r>
        <w:t xml:space="preserve"/>
      </w:r>
      <w:r>
        <w:t xml:space="preserve"/>
      </w:r>
      <w:r>
        <w:t xml:space="preserve"/>
      </w:r>
      <w:r>
        <w:t xml:space="preserve"/>
      </w:r>
      <w:r>
        <w:t xml:space="preserve"/>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0" w:name="X613c8dc7ee339700fde32eb6d620cf026d05cb7"/>
    <w:p>
      <w:pPr>
        <w:pStyle w:val="Heading1"/>
      </w:pPr>
      <w:r>
        <w:t xml:space="preserve">PIÈCE A1 — DPA (Accord de sous-traitance, art. 28 RGPD)</w:t>
      </w:r>
    </w:p>
    <w:bookmarkEnd w:id="20"/>
    <w:bookmarkStart w:id="37" w:name="Xb4e86927b1d0c4fd4eb49359b67093579a9d4ad"/>
    <w:p>
      <w:pPr>
        <w:pStyle w:val="Heading1"/>
      </w:pPr>
      <w:r>
        <w:t xml:space="preserve">ACCORD DE SOUS-TRAITANCE (DATA PROCESSING AGREEMENT — DPA)</w:t>
      </w:r>
    </w:p>
    <w:p>
      <w:pPr>
        <w:pStyle w:val="FirstParagraph"/>
      </w:pPr>
      <w:r>
        <w:rPr>
          <w:bCs/>
          <w:b/>
        </w:rPr>
        <w:t xml:space="preserve">Entre les soussignés :</w:t>
      </w:r>
    </w:p>
    <w:p>
      <w:pPr>
        <w:pStyle w:val="BodyText"/>
      </w:pPr>
      <w:r>
        <w:rPr>
          <w:bCs/>
          <w:b/>
        </w:rPr>
        <w:t xml:space="preserve">HOLCO INVEST</w:t>
      </w:r>
      <w:r>
        <w:t xml:space="preserve">, société civile au capital de 181 764 euros, immatriculée au Registre du Commerce et des Sociétés de Paris sous le numéro SIREN 819 582 453 (SIRET 819 582 453 00026), dont le siège social est situé 64 rue du Mont Cenis, 75018 Paris, représentée par Monsieur Pierre Coquard, en sa qualité de gérant, dûment habilité aux fins des présentes ; contact pour la protection des données : privacy@holco.co,</w:t>
      </w:r>
    </w:p>
    <w:p>
      <w:pPr>
        <w:pStyle w:val="BodyText"/>
      </w:pPr>
      <w:r>
        <w:t xml:space="preserve">Ci-après dénommée</w:t>
      </w:r>
      <w:r>
        <w:t xml:space="preserve"> </w:t>
      </w:r>
      <w:r>
        <w:rPr>
          <w:bCs/>
          <w:b/>
        </w:rPr>
        <w:t xml:space="preserve">« le Sous-traitant »</w:t>
      </w:r>
      <w:r>
        <w:t xml:space="preserve">,</w:t>
      </w:r>
    </w:p>
    <w:p>
      <w:pPr>
        <w:pStyle w:val="BodyText"/>
      </w:pPr>
      <w:r>
        <w:rPr>
          <w:bCs/>
          <w:b/>
        </w:rPr>
        <w:t xml:space="preserve">ET</w:t>
      </w:r>
    </w:p>
    <w:p>
      <w:pPr>
        <w:pStyle w:val="BodyText"/>
      </w:pPr>
      <w:r>
        <w:rPr>
          <w:bCs/>
          <w:b/>
        </w:rPr>
        <w:t xml:space="preserve">[RAISON SOCIALE]</w:t>
      </w:r>
      <w:r>
        <w:t xml:space="preserve">, [FORME JURIDIQUE] au capital de [MONTANT CAPITAL] euros, immatriculée au Registre du Commerce et des Sociétés de [VILLE] sous le numéro SIREN [SIREN], dont le siège social est situé [ADRESSE], représentée par [REPRÉSENTANT], [QUALITÉ], membre de l’Ordre des Experts-Comptables sous le numéro [N° OEC], dûment habilité aux fins des présentes,</w:t>
      </w:r>
    </w:p>
    <w:p>
      <w:pPr>
        <w:pStyle w:val="BodyText"/>
      </w:pPr>
      <w:r>
        <w:t xml:space="preserve">Ci-après dénommé</w:t>
      </w:r>
      <w:r>
        <w:t xml:space="preserve"> </w:t>
      </w:r>
      <w:r>
        <w:rPr>
          <w:bCs/>
          <w:b/>
        </w:rPr>
        <w:t xml:space="preserve">« le Responsable de traitement »</w:t>
      </w:r>
      <w:r>
        <w:t xml:space="preserve">,</w:t>
      </w:r>
    </w:p>
    <w:p>
      <w:pPr>
        <w:pStyle w:val="BodyText"/>
      </w:pPr>
      <w:r>
        <w:t xml:space="preserve">Ensemble dénommés</w:t>
      </w:r>
      <w:r>
        <w:t xml:space="preserve"> </w:t>
      </w:r>
      <w:r>
        <w:rPr>
          <w:bCs/>
          <w:b/>
        </w:rPr>
        <w:t xml:space="preserve">« les Parties »</w:t>
      </w:r>
      <w:r>
        <w:t xml:space="preserve">,</w:t>
      </w:r>
    </w:p>
    <w:p>
      <w:r>
        <w:pict>
          <ns1:rect style="width:0;height:1.5pt" ns2:hralign="center" ns2:hrstd="t" ns2:hr="t"/>
        </w:pict>
      </w:r>
    </w:p>
    <w:bookmarkStart w:id="21" w:name="préambule"/>
    <w:p>
      <w:pPr>
        <w:pStyle w:val="Heading2"/>
      </w:pPr>
      <w:r>
        <w:t xml:space="preserve">PRÉAMBULE</w:t>
      </w:r>
    </w:p>
    <w:p>
      <w:pPr>
        <w:numPr>
          <w:ilvl w:val="0"/>
          <w:numId w:val="1001"/>
        </w:numPr>
      </w:pPr>
      <w:r>
        <w:rPr>
          <w:bCs/>
          <w:b/>
        </w:rPr>
        <w:t xml:space="preserve">Contexte réglementaire</w:t>
      </w:r>
      <w:r>
        <w:t xml:space="preserve"> </w:t>
      </w:r>
      <w:r>
        <w:t xml:space="preserve">:</w:t>
      </w:r>
      <w:r>
        <w:t xml:space="preserve"> </w:t>
      </w:r>
      <w:r>
        <w:t xml:space="preserve">Le Règlement (UE) 2016/679 du Parlement européen et du Conseil du 27 avril 2016 relatif à la protection des personnes physiques à l’égard du traitement des données à caractère personnel et à la libre circulation de ces données (ci-après le</w:t>
      </w:r>
      <w:r>
        <w:t xml:space="preserve"> </w:t>
      </w:r>
      <w:r>
        <w:rPr>
          <w:bCs/>
          <w:b/>
        </w:rPr>
        <w:t xml:space="preserve">« RGPD »</w:t>
      </w:r>
      <w:r>
        <w:t xml:space="preserve">), ainsi que la loi n° 78-17 du 6 janvier 1978 modifiée relative à l’informatique, aux fichiers et aux libertés, imposent au Responsable de traitement de ne recourir qu’à des Sous-traitants présentant des garanties suffisantes quant à la mise en œuvre de mesures techniques et organisationnelles appropriées, de manière à ce que le traitement réponde aux exigences du RGPD et garantisse la protection des droits de la personne concernée (article 28 du RGPD).</w:t>
      </w:r>
    </w:p>
    <w:p>
      <w:pPr>
        <w:numPr>
          <w:ilvl w:val="0"/>
          <w:numId w:val="1001"/>
        </w:numPr>
      </w:pPr>
      <w:r>
        <w:rPr>
          <w:bCs/>
          <w:b/>
        </w:rPr>
        <w:t xml:space="preserve">Objet du traitement</w:t>
      </w:r>
      <w:r>
        <w:t xml:space="preserve"> </w:t>
      </w:r>
      <w:r>
        <w:t xml:space="preserve">:</w:t>
      </w:r>
      <w:r>
        <w:t xml:space="preserve"> </w:t>
      </w:r>
      <w:r>
        <w:t xml:space="preserve">Le Sous-traitant fournit au Responsable de traitement un service d’analyse comptable en lecture seule via l’outil</w:t>
      </w:r>
      <w:r>
        <w:t xml:space="preserve"> </w:t>
      </w:r>
      <w:r>
        <w:rPr>
          <w:bCs/>
          <w:b/>
        </w:rPr>
        <w:t xml:space="preserve">« PennyPilot »</w:t>
      </w:r>
      <w:r>
        <w:t xml:space="preserve">, intégré à la plateforme Pennylane. Ce service repose sur une architecture</w:t>
      </w:r>
      <w:r>
        <w:t xml:space="preserve"> </w:t>
      </w:r>
      <w:r>
        <w:rPr>
          <w:bCs/>
          <w:b/>
        </w:rPr>
        <w:t xml:space="preserve">« remote »</w:t>
      </w:r>
      <w:r>
        <w:t xml:space="preserve"> </w:t>
      </w:r>
      <w:r>
        <w:t xml:space="preserve">s’appuyant sur le protocole</w:t>
      </w:r>
      <w:r>
        <w:t xml:space="preserve"> </w:t>
      </w:r>
      <w:r>
        <w:rPr>
          <w:bCs/>
          <w:b/>
        </w:rPr>
        <w:t xml:space="preserve">MCP (Model Context Protocol)</w:t>
      </w:r>
      <w:r>
        <w:t xml:space="preserve">, permettant au Sous-traitant d’héberger un token chiffré d’accès à l’API Pennylane, de router les requêtes</w:t>
      </w:r>
      <w:r>
        <w:t xml:space="preserve"> </w:t>
      </w:r>
      <w:r>
        <w:rPr>
          <w:bCs/>
          <w:b/>
        </w:rPr>
        <w:t xml:space="preserve">GET</w:t>
      </w:r>
      <w:r>
        <w:t xml:space="preserve"> </w:t>
      </w:r>
      <w:r>
        <w:t xml:space="preserve">d’un modèle de langage (LLM) vers ladite API, et de journaliser les usages techniques, sans conservation durable des données comptables.</w:t>
      </w:r>
    </w:p>
    <w:p>
      <w:pPr>
        <w:numPr>
          <w:ilvl w:val="0"/>
          <w:numId w:val="1001"/>
        </w:numPr>
      </w:pPr>
      <w:r>
        <w:rPr>
          <w:bCs/>
          <w:b/>
        </w:rPr>
        <w:t xml:space="preserve">Engagement des Parties</w:t>
      </w:r>
      <w:r>
        <w:t xml:space="preserve"> </w:t>
      </w:r>
      <w:r>
        <w:t xml:space="preserve">:</w:t>
      </w:r>
      <w:r>
        <w:t xml:space="preserve"> </w:t>
      </w:r>
      <w:r>
        <w:t xml:space="preserve">Les Parties conviennent que le présent accord (ci-après</w:t>
      </w:r>
      <w:r>
        <w:t xml:space="preserve"> </w:t>
      </w:r>
      <w:r>
        <w:rPr>
          <w:bCs/>
          <w:b/>
        </w:rPr>
        <w:t xml:space="preserve">« le Contrat »</w:t>
      </w:r>
      <w:r>
        <w:t xml:space="preserve">) définit les droits et obligations du Sous-traitant en sa qualité de Sous-traitant au sens de l’article 4.8 du RGPD, et du Responsable de traitement en sa qualité de responsable du traitement au sens de l’article 4.7 du RGPD, pour les traitements de données à caractère personnel décrits ci-après.</w:t>
      </w:r>
    </w:p>
    <w:p>
      <w:r>
        <w:pict>
          <ns1:rect style="width:0;height:1.5pt" ns2:hralign="center" ns2:hrstd="t" ns2:hr="t"/>
        </w:pict>
      </w:r>
    </w:p>
    <w:bookmarkEnd w:id="21"/>
    <w:bookmarkStart w:id="22" w:name="définitions"/>
    <w:p>
      <w:pPr>
        <w:pStyle w:val="Heading2"/>
      </w:pPr>
      <w:r>
        <w:t xml:space="preserve">DÉFINITIONS</w:t>
      </w:r>
    </w:p>
    <w:p>
      <w:pPr>
        <w:pStyle w:val="FirstParagraph"/>
      </w:pPr>
      <w:r>
        <w:t xml:space="preserve">Les termes définis ci-après auront, sauf disposition contraire, la signification suivante dans le cadre du présent Contrat :</w:t>
      </w:r>
    </w:p>
    <w:p>
      <w:pPr>
        <w:numPr>
          <w:ilvl w:val="0"/>
          <w:numId w:val="1002"/>
        </w:numPr>
        <w:pStyle w:val="Compact"/>
      </w:pPr>
      <w:r>
        <w:rPr>
          <w:bCs/>
          <w:b/>
        </w:rPr>
        <w:t xml:space="preserve">« Données à caractère personnel » : Toute information se rapportant à une personne physique identifiée ou identifiable (ci-après « Personne concernée »), conformément à l’article 4.1 du RGPD.</w:t>
      </w:r>
      <w:r>
        <w:t xml:space="preserve"/>
      </w:r>
      <w:r>
        <w:t xml:space="preserve"/>
      </w:r>
      <w:r>
        <w:t xml:space="preserve"/>
      </w:r>
      <w:r>
        <w:rPr>
          <w:bCs/>
          <w:b/>
        </w:rPr>
        <w:t xml:space="preserve"/>
      </w:r>
      <w:r>
        <w:t xml:space="preserve"/>
      </w:r>
    </w:p>
    <w:p>
      <w:pPr>
        <w:numPr>
          <w:ilvl w:val="0"/>
          <w:numId w:val="1002"/>
        </w:numPr>
        <w:pStyle w:val="Compact"/>
      </w:pPr>
      <w:r>
        <w:rPr>
          <w:bCs/>
          <w:b/>
        </w:rPr>
        <w:t xml:space="preserve">« Traitement »</w:t>
      </w:r>
      <w:r>
        <w:t xml:space="preserve"> </w:t>
      </w:r>
      <w:r>
        <w:t xml:space="preserve">: Toute opération ou tout ensemble d’opérations effectuées ou non à l’aide de procédés automatisés et appliquées à des Données à caractère personnel, telles que définies à l’article 4.2 du RGPD.</w:t>
      </w:r>
    </w:p>
    <w:p>
      <w:pPr>
        <w:numPr>
          <w:ilvl w:val="0"/>
          <w:numId w:val="1002"/>
        </w:numPr>
        <w:pStyle w:val="Compact"/>
      </w:pPr>
      <w:r>
        <w:rPr>
          <w:bCs/>
          <w:b/>
        </w:rPr>
        <w:t xml:space="preserve">« Violation de données »</w:t>
      </w:r>
      <w:r>
        <w:t xml:space="preserve"> </w:t>
      </w:r>
      <w:r>
        <w:t xml:space="preserve">: Une violation de la sécurité entraînant, de manière accidentelle ou illicite, la destruction, la perte, l’altération, la divulgation non autorisée de Données à caractère personnel transmises, conservées ou traitées d’une autre manière, ou l’accès non autorisé à de telles données, conformément à l’article 4.12 du RGPD.</w:t>
      </w:r>
    </w:p>
    <w:p>
      <w:pPr>
        <w:numPr>
          <w:ilvl w:val="0"/>
          <w:numId w:val="1002"/>
        </w:numPr>
        <w:pStyle w:val="Compact"/>
      </w:pPr>
      <w:r>
        <w:rPr>
          <w:bCs/>
          <w:b/>
        </w:rPr>
        <w:t xml:space="preserve">« AI Act » : Le Règlement (UE) 2024/1689 du Parlement européen et du Conseil du 13 juin 2024 établissant des règles harmonisées concernant l’intelligence artificielle (ci-après « AI Act »).</w:t>
      </w:r>
      <w:r>
        <w:t xml:space="preserve"/>
      </w:r>
      <w:r>
        <w:t xml:space="preserve"/>
      </w:r>
      <w:r>
        <w:t xml:space="preserve"/>
      </w:r>
      <w:r>
        <w:rPr>
          <w:bCs/>
          <w:b/>
        </w:rPr>
        <w:t xml:space="preserve"/>
      </w:r>
      <w:r>
        <w:t xml:space="preserve"/>
      </w:r>
    </w:p>
    <w:p>
      <w:pPr>
        <w:numPr>
          <w:ilvl w:val="0"/>
          <w:numId w:val="1002"/>
        </w:numPr>
        <w:pStyle w:val="Compact"/>
      </w:pPr>
      <w:r>
        <w:rPr>
          <w:bCs/>
          <w:b/>
        </w:rPr>
        <w:t xml:space="preserve">« PennyPilot »</w:t>
      </w:r>
      <w:r>
        <w:t xml:space="preserve"> </w:t>
      </w:r>
      <w:r>
        <w:t xml:space="preserve">: Le produit logiciel développé par le Sous-traitant permettant l’analyse comptable en lecture seule des données hébergées sur la plateforme Pennylane, via une architecture</w:t>
      </w:r>
      <w:r>
        <w:t xml:space="preserve"> </w:t>
      </w:r>
      <w:r>
        <w:rPr>
          <w:bCs/>
          <w:b/>
        </w:rPr>
        <w:t xml:space="preserve">« remote »</w:t>
      </w:r>
      <w:r>
        <w:t xml:space="preserve"> </w:t>
      </w:r>
      <w:r>
        <w:t xml:space="preserve">s’appuyant sur le protocole MCP (Model Context Protocol).</w:t>
      </w:r>
    </w:p>
    <w:p>
      <w:pPr>
        <w:numPr>
          <w:ilvl w:val="0"/>
          <w:numId w:val="1002"/>
        </w:numPr>
        <w:pStyle w:val="Compact"/>
      </w:pPr>
      <w:r>
        <w:rPr>
          <w:bCs/>
          <w:b/>
        </w:rPr>
        <w:t xml:space="preserve">« Token Pennylane »</w:t>
      </w:r>
      <w:r>
        <w:t xml:space="preserve"> </w:t>
      </w:r>
      <w:r>
        <w:t xml:space="preserve">: Un jeton d’authentification chiffré permettant l’accès en lecture seule à l’API Pennylane, hébergé par le Sous-traitant dans le cadre du service PennyPilot.</w:t>
      </w:r>
    </w:p>
    <w:p>
      <w:pPr>
        <w:numPr>
          <w:ilvl w:val="0"/>
          <w:numId w:val="1002"/>
        </w:numPr>
        <w:pStyle w:val="Compact"/>
      </w:pPr>
      <w:r>
        <w:rPr>
          <w:bCs/>
          <w:b/>
        </w:rPr>
        <w:t xml:space="preserve">« usage_logs »</w:t>
      </w:r>
      <w:r>
        <w:t xml:space="preserve"> </w:t>
      </w:r>
      <w:r>
        <w:t xml:space="preserve">: Les journaux techniques générés par le Sous-traitant pour tracer les requêtes effectuées via PennyPilot, à l’exclusion de tout contenu de prompt ou de Données à caractère personnel comptables.</w:t>
      </w:r>
    </w:p>
    <w:p>
      <w:pPr>
        <w:numPr>
          <w:ilvl w:val="0"/>
          <w:numId w:val="1002"/>
        </w:numPr>
        <w:pStyle w:val="Compact"/>
      </w:pPr>
      <w:r>
        <w:rPr>
          <w:bCs/>
          <w:b/>
        </w:rPr>
        <w:t xml:space="preserve">« Clause contractuelle type »</w:t>
      </w:r>
      <w:r>
        <w:t xml:space="preserve"> </w:t>
      </w:r>
      <w:r>
        <w:t xml:space="preserve">: Les clauses contractuelles types adoptées par la Commission européenne en vertu de l’article 46.2.c du RGPD, ou toute autre garantie appropriée reconnue par le RGPD pour les transferts internationaux de données.</w:t>
      </w:r>
    </w:p>
    <w:p>
      <w:r>
        <w:pict>
          <ns1:rect style="width:0;height:1.5pt" ns2:hralign="center" ns2:hrstd="t" ns2:hr="t"/>
        </w:pict>
      </w:r>
    </w:p>
    <w:bookmarkEnd w:id="22"/>
    <w:bookmarkStart w:id="23" w:name="X89c810441e5e6f35636c7eeb55e95bd8f001839"/>
    <w:p>
      <w:pPr>
        <w:pStyle w:val="Heading2"/>
      </w:pPr>
      <w:r>
        <w:t xml:space="preserve">ARTICLE 1 - OBJET ET QUALIFICATION DES PARTIES</w:t>
      </w:r>
    </w:p>
    <w:p>
      <w:pPr>
        <w:pStyle w:val="FirstParagraph"/>
      </w:pPr>
      <w:r>
        <w:t xml:space="preserve">1.1</w:t>
      </w:r>
      <w:r>
        <w:t xml:space="preserve"> </w:t>
      </w:r>
      <w:r>
        <w:rPr>
          <w:bCs/>
          <w:b/>
        </w:rPr>
        <w:t xml:space="preserve">Objet</w:t>
      </w:r>
      <w:r>
        <w:t xml:space="preserve"> </w:t>
      </w:r>
      <w:r>
        <w:t xml:space="preserve">:</w:t>
      </w:r>
      <w:r>
        <w:t xml:space="preserve"> </w:t>
      </w:r>
      <w:r>
        <w:t xml:space="preserve">Le présent Contrat a pour objet de définir les conditions dans lesquelles le Sous-traitant traite les Données à caractère personnel pour le compte du Responsable de traitement, conformément aux instructions documentées de ce dernier et aux dispositions du RGPD, notamment son article 28.</w:t>
      </w:r>
    </w:p>
    <w:p>
      <w:pPr>
        <w:pStyle w:val="BodyText"/>
      </w:pPr>
      <w:r>
        <w:t xml:space="preserve">1.2</w:t>
      </w:r>
      <w:r>
        <w:t xml:space="preserve"> </w:t>
      </w:r>
      <w:r>
        <w:rPr>
          <w:bCs/>
          <w:b/>
        </w:rPr>
        <w:t xml:space="preserve">Qualification des Parties</w:t>
      </w:r>
      <w:r>
        <w:t xml:space="preserve"> </w:t>
      </w:r>
      <w:r>
        <w:t xml:space="preserve">:</w:t>
      </w:r>
      <w:r>
        <w:t xml:space="preserve"> </w:t>
      </w:r>
      <w:r>
        <w:t xml:space="preserve">- Le Responsable de traitement détermine les finalités et les moyens du traitement des Données à caractère personnel dans le cadre de l’utilisation du service PennyPilot.</w:t>
      </w:r>
      <w:r>
        <w:t xml:space="preserve"> </w:t>
      </w:r>
      <w:r>
        <w:t xml:space="preserve">- Le Sous-traitant agit exclusivement sur instruction documentée du Responsable de traitement et ne traite les Données à caractère personnel que pour les finalités définies à l’</w:t>
      </w:r>
      <w:r>
        <w:rPr>
          <w:bCs/>
          <w:b/>
        </w:rPr>
        <w:t xml:space="preserve">Annexe 1</w:t>
      </w:r>
      <w:r>
        <w:t xml:space="preserve"> </w:t>
      </w:r>
      <w:r>
        <w:t xml:space="preserve">du présent Contrat.</w:t>
      </w:r>
    </w:p>
    <w:p>
      <w:r>
        <w:pict>
          <ns1:rect style="width:0;height:1.5pt" ns2:hralign="center" ns2:hrstd="t" ns2:hr="t"/>
        </w:pict>
      </w:r>
    </w:p>
    <w:bookmarkEnd w:id="23"/>
    <w:bookmarkStart w:id="24" w:name="Xf0e7fdf5e8de25f8513c67ac2d40ac6ea5589bc"/>
    <w:p>
      <w:pPr>
        <w:pStyle w:val="Heading2"/>
      </w:pPr>
      <w:r>
        <w:t xml:space="preserve">ARTICLE 2 - DESCRIPTION ET DURÉE DU TRAITEMENT</w:t>
      </w:r>
    </w:p>
    <w:p>
      <w:pPr>
        <w:pStyle w:val="FirstParagraph"/>
      </w:pPr>
      <w:r>
        <w:t xml:space="preserve">2.1</w:t>
      </w:r>
      <w:r>
        <w:t xml:space="preserve"> </w:t>
      </w:r>
      <w:r>
        <w:rPr>
          <w:bCs/>
          <w:b/>
        </w:rPr>
        <w:t xml:space="preserve">Description du traitement</w:t>
      </w:r>
      <w:r>
        <w:t xml:space="preserve"> </w:t>
      </w:r>
      <w:r>
        <w:t xml:space="preserve">:</w:t>
      </w:r>
      <w:r>
        <w:t xml:space="preserve"> </w:t>
      </w:r>
      <w:r>
        <w:t xml:space="preserve">Les catégories de Données à caractère personnel traitées, les finalités du traitement, les catégories de Personnes concernées, ainsi que la durée de conservation des données, sont détaillées à l’</w:t>
      </w:r>
      <w:r>
        <w:rPr>
          <w:bCs/>
          <w:b/>
        </w:rPr>
        <w:t xml:space="preserve">Annexe 1</w:t>
      </w:r>
      <w:r>
        <w:t xml:space="preserve"> </w:t>
      </w:r>
      <w:r>
        <w:t xml:space="preserve">du présent Contrat.</w:t>
      </w:r>
    </w:p>
    <w:p>
      <w:pPr>
        <w:pStyle w:val="BodyText"/>
      </w:pPr>
      <w:r>
        <w:t xml:space="preserve">2.2</w:t>
      </w:r>
      <w:r>
        <w:t xml:space="preserve"> </w:t>
      </w:r>
      <w:r>
        <w:rPr>
          <w:bCs/>
          <w:b/>
        </w:rPr>
        <w:t xml:space="preserve">Durée du traitement</w:t>
      </w:r>
      <w:r>
        <w:t xml:space="preserve"> </w:t>
      </w:r>
      <w:r>
        <w:t xml:space="preserve">:</w:t>
      </w:r>
      <w:r>
        <w:t xml:space="preserve"> </w:t>
      </w:r>
      <w:r>
        <w:t xml:space="preserve">Le traitement des Données à caractère personnel par le Sous-traitant est effectué pour la durée du présent Contrat. À l’issue de cette période, le Sous-traitant s’engage à cesser tout traitement des Données à caractère personnel et à les supprimer ou les restituer conformément à l’</w:t>
      </w:r>
      <w:r>
        <w:rPr>
          <w:bCs/>
          <w:b/>
        </w:rPr>
        <w:t xml:space="preserve">Article 11</w:t>
      </w:r>
      <w:r>
        <w:t xml:space="preserve"> </w:t>
      </w:r>
      <w:r>
        <w:t xml:space="preserve">du présent Contrat.</w:t>
      </w:r>
    </w:p>
    <w:p>
      <w:r>
        <w:pict>
          <ns1:rect style="width:0;height:1.5pt" ns2:hralign="center" ns2:hrstd="t" ns2:hr="t"/>
        </w:pict>
      </w:r>
    </w:p>
    <w:bookmarkEnd w:id="24"/>
    <w:bookmarkStart w:id="25" w:name="article-3---instructions-documentées"/>
    <w:p>
      <w:pPr>
        <w:pStyle w:val="Heading2"/>
      </w:pPr>
      <w:r>
        <w:t xml:space="preserve">ARTICLE 3 - INSTRUCTIONS DOCUMENTÉES</w:t>
      </w:r>
    </w:p>
    <w:p>
      <w:pPr>
        <w:pStyle w:val="FirstParagraph"/>
      </w:pPr>
      <w:r>
        <w:t xml:space="preserve">3.1</w:t>
      </w:r>
      <w:r>
        <w:t xml:space="preserve"> </w:t>
      </w:r>
      <w:r>
        <w:rPr>
          <w:bCs/>
          <w:b/>
        </w:rPr>
        <w:t xml:space="preserve">Cadre des instructions</w:t>
      </w:r>
      <w:r>
        <w:t xml:space="preserve"> </w:t>
      </w:r>
      <w:r>
        <w:t xml:space="preserve">:</w:t>
      </w:r>
      <w:r>
        <w:t xml:space="preserve"> </w:t>
      </w:r>
      <w:r>
        <w:t xml:space="preserve">Le Sous-traitant s’engage à ne traiter les Données à caractère personnel que sur instruction documentée du Responsable de traitement, conformément à l’article 28.3.a du RGPD. Toute instruction écrite du Responsable de traitement fait foi pour l’exécution du traitement.</w:t>
      </w:r>
    </w:p>
    <w:p>
      <w:pPr>
        <w:pStyle w:val="BodyText"/>
      </w:pPr>
      <w:r>
        <w:t xml:space="preserve">3.2</w:t>
      </w:r>
      <w:r>
        <w:t xml:space="preserve"> </w:t>
      </w:r>
      <w:r>
        <w:rPr>
          <w:bCs/>
          <w:b/>
        </w:rPr>
        <w:t xml:space="preserve">Dérogation aux instructions</w:t>
      </w:r>
      <w:r>
        <w:t xml:space="preserve"> </w:t>
      </w:r>
      <w:r>
        <w:t xml:space="preserve">:</w:t>
      </w:r>
      <w:r>
        <w:t xml:space="preserve"> </w:t>
      </w:r>
      <w:r>
        <w:t xml:space="preserve">En cas de réception d’une instruction du Responsable de traitement qui, de l’avis du Sous-traitant, constituerait une violation du RGPD ou de toute autre disposition applicable en matière de protection des données, le Sous-traitant en informe sans délai le Responsable de traitement par écrit. Si le Responsable de traitement maintient son instruction, le Sous-traitant se réserve le droit de suspendre le traitement et/ou de résilier le présent Contrat, conformément à l’article 28.3 du RGPD.</w:t>
      </w:r>
    </w:p>
    <w:p>
      <w:pPr>
        <w:pStyle w:val="BodyText"/>
      </w:pPr>
      <w:r>
        <w:t xml:space="preserve">3.3</w:t>
      </w:r>
      <w:r>
        <w:t xml:space="preserve"> </w:t>
      </w:r>
      <w:r>
        <w:rPr>
          <w:bCs/>
          <w:b/>
        </w:rPr>
        <w:t xml:space="preserve">Enregistrement des instructions</w:t>
      </w:r>
      <w:r>
        <w:t xml:space="preserve"> </w:t>
      </w:r>
      <w:r>
        <w:t xml:space="preserve">:</w:t>
      </w:r>
      <w:r>
        <w:t xml:space="preserve"> </w:t>
      </w:r>
      <w:r>
        <w:t xml:space="preserve">Le Responsable de traitement s’engage à documenter par écrit toute instruction relative au traitement des Données à caractère personnel, y compris les modifications ultérieures. Ces instructions sont conservées par les Parties pendant une durée de cinq (5) ans à compter de leur émission.</w:t>
      </w:r>
    </w:p>
    <w:p>
      <w:r>
        <w:pict>
          <ns1:rect style="width:0;height:1.5pt" ns2:hralign="center" ns2:hrstd="t" ns2:hr="t"/>
        </w:pict>
      </w:r>
    </w:p>
    <w:bookmarkEnd w:id="25"/>
    <w:bookmarkStart w:id="26" w:name="article-4---confidentialité"/>
    <w:p>
      <w:pPr>
        <w:pStyle w:val="Heading2"/>
      </w:pPr>
      <w:r>
        <w:t xml:space="preserve">ARTICLE 4 - CONFIDENTIALITÉ</w:t>
      </w:r>
    </w:p>
    <w:p>
      <w:pPr>
        <w:pStyle w:val="FirstParagraph"/>
      </w:pPr>
      <w:r>
        <w:t xml:space="preserve">4.1</w:t>
      </w:r>
      <w:r>
        <w:t xml:space="preserve"> </w:t>
      </w:r>
      <w:r>
        <w:rPr>
          <w:bCs/>
          <w:b/>
        </w:rPr>
        <w:t xml:space="preserve">Obligation de confidentialité</w:t>
      </w:r>
      <w:r>
        <w:t xml:space="preserve"> </w:t>
      </w:r>
      <w:r>
        <w:t xml:space="preserve">:</w:t>
      </w:r>
      <w:r>
        <w:t xml:space="preserve"> </w:t>
      </w:r>
      <w:r>
        <w:t xml:space="preserve">Le Sous-traitant s’engage à ce que toute personne autorisée à traiter les Données à caractère personnel pour son compte (y compris ses employés, sous-traitants et agents) soit soumise à une obligation de confidentialité stricte, conformément à l’article 28.3.b du RGPD. Cette obligation survit à la cessation du présent Contrat.</w:t>
      </w:r>
    </w:p>
    <w:p>
      <w:pPr>
        <w:pStyle w:val="BodyText"/>
      </w:pPr>
      <w:r>
        <w:t xml:space="preserve">4.2</w:t>
      </w:r>
      <w:r>
        <w:t xml:space="preserve"> </w:t>
      </w:r>
      <w:r>
        <w:rPr>
          <w:bCs/>
          <w:b/>
        </w:rPr>
        <w:t xml:space="preserve">Accès restreint</w:t>
      </w:r>
      <w:r>
        <w:t xml:space="preserve"> </w:t>
      </w:r>
      <w:r>
        <w:t xml:space="preserve">:</w:t>
      </w:r>
      <w:r>
        <w:t xml:space="preserve"> </w:t>
      </w:r>
      <w:r>
        <w:t xml:space="preserve">Le Sous-traitant limite l’accès aux Données à caractère personnel aux seules personnes nécessitant d’y avoir accès pour l’exécution des services objets du présent Contrat. Ces personnes sont préalablement informées de leurs obligations en matière de protection des données et sont soumises à des contrôles d’accès appropriés.</w:t>
      </w:r>
    </w:p>
    <w:p>
      <w:r>
        <w:pict>
          <ns1:rect style="width:0;height:1.5pt" ns2:hralign="center" ns2:hrstd="t" ns2:hr="t"/>
        </w:pict>
      </w:r>
    </w:p>
    <w:bookmarkEnd w:id="26"/>
    <w:bookmarkStart w:id="27" w:name="article-5---sécurité-du-traitement"/>
    <w:p>
      <w:pPr>
        <w:pStyle w:val="Heading2"/>
      </w:pPr>
      <w:r>
        <w:t xml:space="preserve">ARTICLE 5 - SÉCURITÉ DU TRAITEMENT</w:t>
      </w:r>
    </w:p>
    <w:p>
      <w:pPr>
        <w:pStyle w:val="FirstParagraph"/>
      </w:pPr>
      <w:r>
        <w:t xml:space="preserve">5.1</w:t>
      </w:r>
      <w:r>
        <w:t xml:space="preserve"> </w:t>
      </w:r>
      <w:r>
        <w:rPr>
          <w:bCs/>
          <w:b/>
        </w:rPr>
        <w:t xml:space="preserve">Mesures techniques et organisationnelles</w:t>
      </w:r>
      <w:r>
        <w:t xml:space="preserve"> </w:t>
      </w:r>
      <w:r>
        <w:t xml:space="preserve">:</w:t>
      </w:r>
      <w:r>
        <w:t xml:space="preserve"> </w:t>
      </w:r>
      <w:r>
        <w:t xml:space="preserve">Le Sous-traitant met en œuvre les mesures techniques et organisationnelles appropriées pour garantir un niveau de sécurité adapté au risque, conformément à l’article 32 du RGPD. Ces mesures sont détaillées à l’</w:t>
      </w:r>
      <w:r>
        <w:rPr>
          <w:bCs/>
          <w:b/>
        </w:rPr>
        <w:t xml:space="preserve">Annexe 2</w:t>
      </w:r>
      <w:r>
        <w:t xml:space="preserve"> </w:t>
      </w:r>
      <w:r>
        <w:t xml:space="preserve">du présent Contrat et incluent, notamment :</w:t>
      </w:r>
      <w:r>
        <w:t xml:space="preserve"> </w:t>
      </w:r>
      <w:r>
        <w:t xml:space="preserve">- Le chiffrement des Données à caractère personnel en transit (TLS 1.3) et au repos (AES-256-GCM pour le Token Pennylane) ;</w:t>
      </w:r>
      <w:r>
        <w:t xml:space="preserve"> </w:t>
      </w:r>
      <w:r>
        <w:t xml:space="preserve">- Le hachage des clés et tokens (SHA-256) ;</w:t>
      </w:r>
      <w:r>
        <w:t xml:space="preserve"> </w:t>
      </w:r>
      <w:r>
        <w:t xml:space="preserve">- L’accès en lecture seule aux Données à caractère personnel comptables (requêtes</w:t>
      </w:r>
      <w:r>
        <w:t xml:space="preserve"> </w:t>
      </w:r>
      <w:r>
        <w:rPr>
          <w:bCs/>
          <w:b/>
        </w:rPr>
        <w:t xml:space="preserve">GET/HEAD only</w:t>
      </w:r>
      <w:r>
        <w:t xml:space="preserve">) ;</w:t>
      </w:r>
      <w:r>
        <w:t xml:space="preserve"> </w:t>
      </w:r>
      <w:r>
        <w:t xml:space="preserve">- La non-conservation des Données à caractère personnel comptables au-delà de leur transit ;</w:t>
      </w:r>
      <w:r>
        <w:t xml:space="preserve"> </w:t>
      </w:r>
      <w:r>
        <w:t xml:space="preserve">- La journalisation des usages techniques (</w:t>
      </w:r>
      <w:r>
        <w:rPr>
          <w:bCs/>
          <w:b/>
        </w:rPr>
        <w:t xml:space="preserve">usage_logs</w:t>
      </w:r>
      <w:r>
        <w:t xml:space="preserve">) sans enregistrement du contenu des prompts ou des Données à caractère personnel comptables.</w:t>
      </w:r>
    </w:p>
    <w:p>
      <w:pPr>
        <w:pStyle w:val="BodyText"/>
      </w:pPr>
      <w:r>
        <w:t xml:space="preserve">5.2</w:t>
      </w:r>
      <w:r>
        <w:t xml:space="preserve"> </w:t>
      </w:r>
      <w:r>
        <w:rPr>
          <w:bCs/>
          <w:b/>
        </w:rPr>
        <w:t xml:space="preserve">Évaluation et révision</w:t>
      </w:r>
      <w:r>
        <w:t xml:space="preserve"> </w:t>
      </w:r>
      <w:r>
        <w:t xml:space="preserve">:</w:t>
      </w:r>
      <w:r>
        <w:t xml:space="preserve"> </w:t>
      </w:r>
      <w:r>
        <w:t xml:space="preserve">Le Sous-traitant s’engage à réévaluer régulièrement l’adéquation des mesures de sécurité mises en place, notamment en cas d’évolution des risques ou des technologies. Toute modification substantielle des mesures de sécurité est notifiée par écrit au Responsable de traitement dans un délai de quinze (15) jours.</w:t>
      </w:r>
    </w:p>
    <w:p>
      <w:r>
        <w:pict>
          <ns1:rect style="width:0;height:1.5pt" ns2:hralign="center" ns2:hrstd="t" ns2:hr="t"/>
        </w:pict>
      </w:r>
    </w:p>
    <w:bookmarkEnd w:id="27"/>
    <w:bookmarkStart w:id="28" w:name="article-6---sous-traitance-ultérieure"/>
    <w:p>
      <w:pPr>
        <w:pStyle w:val="Heading2"/>
      </w:pPr>
      <w:r>
        <w:t xml:space="preserve">ARTICLE 6 - SOUS-TRAITANCE ULTÉRIEURE</w:t>
      </w:r>
    </w:p>
    <w:p>
      <w:pPr>
        <w:pStyle w:val="FirstParagraph"/>
      </w:pPr>
      <w:r>
        <w:t xml:space="preserve">6.1</w:t>
      </w:r>
      <w:r>
        <w:t xml:space="preserve"> </w:t>
      </w:r>
      <w:r>
        <w:rPr>
          <w:bCs/>
          <w:b/>
        </w:rPr>
        <w:t xml:space="preserve">Autorisation préalable</w:t>
      </w:r>
      <w:r>
        <w:t xml:space="preserve"> </w:t>
      </w:r>
      <w:r>
        <w:t xml:space="preserve">:</w:t>
      </w:r>
      <w:r>
        <w:t xml:space="preserve"> </w:t>
      </w:r>
      <w:r>
        <w:t xml:space="preserve">Le Sous-traitant ne peut recourir à un autre Sous-traitant (ci-après</w:t>
      </w:r>
      <w:r>
        <w:t xml:space="preserve"> </w:t>
      </w:r>
      <w:r>
        <w:rPr>
          <w:bCs/>
          <w:b/>
        </w:rPr>
        <w:t xml:space="preserve">« Sous-traitant ultérieur »</w:t>
      </w:r>
      <w:r>
        <w:t xml:space="preserve">) pour l’exécution des traitements objets du présent Contrat sans l’autorisation écrite préalable et spécifique du Responsable de traitement, conformément à l’article 28.2 du RGPD.</w:t>
      </w:r>
    </w:p>
    <w:p>
      <w:pPr>
        <w:pStyle w:val="BodyText"/>
      </w:pPr>
      <w:r>
        <w:t xml:space="preserve">6.2</w:t>
      </w:r>
      <w:r>
        <w:t xml:space="preserve"> </w:t>
      </w:r>
      <w:r>
        <w:rPr>
          <w:bCs/>
          <w:b/>
        </w:rPr>
        <w:t xml:space="preserve">Liste des Sous-traitants ultérieurs</w:t>
      </w:r>
      <w:r>
        <w:t xml:space="preserve"> </w:t>
      </w:r>
      <w:r>
        <w:t xml:space="preserve">:</w:t>
      </w:r>
      <w:r>
        <w:t xml:space="preserve"> </w:t>
      </w:r>
      <w:r>
        <w:t xml:space="preserve">La liste des Sous-traitants ultérieurs autorisés, ainsi que les garanties contractuelles applicables, est détaillée à l’</w:t>
      </w:r>
      <w:r>
        <w:rPr>
          <w:bCs/>
          <w:b/>
        </w:rPr>
        <w:t xml:space="preserve">Annexe 3</w:t>
      </w:r>
      <w:r>
        <w:t xml:space="preserve"> </w:t>
      </w:r>
      <w:r>
        <w:t xml:space="preserve">du présent Contrat. Le Sous-traitant informe le Responsable de traitement de toute modification envisagée de cette liste, en lui laissant un délai de trente (30) jours pour s’y opposer.</w:t>
      </w:r>
    </w:p>
    <w:p>
      <w:pPr>
        <w:pStyle w:val="BodyText"/>
      </w:pPr>
      <w:r>
        <w:t xml:space="preserve">6.3</w:t>
      </w:r>
      <w:r>
        <w:t xml:space="preserve"> </w:t>
      </w:r>
      <w:r>
        <w:rPr>
          <w:bCs/>
          <w:b/>
        </w:rPr>
        <w:t xml:space="preserve">Responsabilité</w:t>
      </w:r>
      <w:r>
        <w:t xml:space="preserve"> </w:t>
      </w:r>
      <w:r>
        <w:t xml:space="preserve">:</w:t>
      </w:r>
      <w:r>
        <w:t xml:space="preserve"> </w:t>
      </w:r>
      <w:r>
        <w:t xml:space="preserve">Le Sous-traitant demeure pleinement responsable de l’exécution par le Sous-traitant ultérieur de ses obligations au titre du présent Contrat, conformément à l’article 28.4 du RGPD.</w:t>
      </w:r>
    </w:p>
    <w:p>
      <w:r>
        <w:pict>
          <ns1:rect style="width:0;height:1.5pt" ns2:hralign="center" ns2:hrstd="t" ns2:hr="t"/>
        </w:pict>
      </w:r>
    </w:p>
    <w:bookmarkEnd w:id="28"/>
    <w:bookmarkStart w:id="29" w:name="Xe41af78bb42a6e0d04c528141bb3d962a2c2d65"/>
    <w:p>
      <w:pPr>
        <w:pStyle w:val="Heading2"/>
      </w:pPr>
      <w:r>
        <w:t xml:space="preserve">ARTICLE 7 - ASSISTANCE AU RESPONSABLE DE TRAITEMENT</w:t>
      </w:r>
    </w:p>
    <w:p>
      <w:pPr>
        <w:pStyle w:val="FirstParagraph"/>
      </w:pPr>
      <w:r>
        <w:t xml:space="preserve">7.1</w:t>
      </w:r>
      <w:r>
        <w:t xml:space="preserve"> </w:t>
      </w:r>
      <w:r>
        <w:rPr>
          <w:bCs/>
          <w:b/>
        </w:rPr>
        <w:t xml:space="preserve">Droits des Personnes concernées</w:t>
      </w:r>
      <w:r>
        <w:t xml:space="preserve"> </w:t>
      </w:r>
      <w:r>
        <w:t xml:space="preserve">:</w:t>
      </w:r>
      <w:r>
        <w:t xml:space="preserve"> </w:t>
      </w:r>
      <w:r>
        <w:t xml:space="preserve">Le Sous-traitant assiste le Responsable de traitement, dans la mesure du possible et compte tenu des informations dont il dispose, pour lui permettre de répondre aux demandes d’exercice des droits des Personnes concernées (droits d’accès, de rectification, d’effacement, de limitation, de portabilité, d’opposition, et de ne pas faire l’objet d’une décision individuelle automatisée), conformément aux articles 12 à 22 du RGPD. Cette assistance est fournie sans frais supplémentaires pour le Responsable de traitement, sauf en cas de demandes manifestement infondées ou excessives.</w:t>
      </w:r>
    </w:p>
    <w:p>
      <w:pPr>
        <w:pStyle w:val="BodyText"/>
      </w:pPr>
      <w:r>
        <w:t xml:space="preserve">7.2</w:t>
      </w:r>
      <w:r>
        <w:t xml:space="preserve"> </w:t>
      </w:r>
      <w:r>
        <w:rPr>
          <w:bCs/>
          <w:b/>
        </w:rPr>
        <w:t xml:space="preserve">Analyse d’impact relative à la protection des données (AIPD)</w:t>
      </w:r>
      <w:r>
        <w:t xml:space="preserve"> </w:t>
      </w:r>
      <w:r>
        <w:t xml:space="preserve">:</w:t>
      </w:r>
      <w:r>
        <w:t xml:space="preserve"> </w:t>
      </w:r>
      <w:r>
        <w:t xml:space="preserve">Le Sous-traitant s’engage à fournir au Responsable de traitement toute information nécessaire à la réalisation d’une AIPD, conformément à l’article 35 du RGPD, notamment en ce qui concerne les risques liés au traitement des Données à caractère personnel via PennyPilot. Le Sous-traitant coopère avec le Responsable de traitement pour évaluer et atténuer ces risques.</w:t>
      </w:r>
    </w:p>
    <w:p>
      <w:pPr>
        <w:pStyle w:val="BodyText"/>
      </w:pPr>
      <w:r>
        <w:t xml:space="preserve">7.3</w:t>
      </w:r>
      <w:r>
        <w:t xml:space="preserve"> </w:t>
      </w:r>
      <w:r>
        <w:rPr>
          <w:bCs/>
          <w:b/>
        </w:rPr>
        <w:t xml:space="preserve">Consultation préalable</w:t>
      </w:r>
      <w:r>
        <w:t xml:space="preserve"> </w:t>
      </w:r>
      <w:r>
        <w:t xml:space="preserve">:</w:t>
      </w:r>
      <w:r>
        <w:t xml:space="preserve"> </w:t>
      </w:r>
      <w:r>
        <w:t xml:space="preserve">En cas de consultation préalable de la Commission nationale de l’informatique et des libertés (CNIL) par le Responsable de traitement, conformément à l’article 36 du RGPD, le Sous-traitant s’engage à fournir toute assistance requise pour répondre aux demandes de la CNIL.</w:t>
      </w:r>
    </w:p>
    <w:p>
      <w:r>
        <w:pict>
          <ns1:rect style="width:0;height:1.5pt" ns2:hralign="center" ns2:hrstd="t" ns2:hr="t"/>
        </w:pict>
      </w:r>
    </w:p>
    <w:bookmarkEnd w:id="29"/>
    <w:bookmarkStart w:id="30" w:name="article-8---violations-de-données"/>
    <w:p>
      <w:pPr>
        <w:pStyle w:val="Heading2"/>
      </w:pPr>
      <w:r>
        <w:t xml:space="preserve">ARTICLE 8 - VIOLATIONS DE DONNÉES</w:t>
      </w:r>
    </w:p>
    <w:p>
      <w:pPr>
        <w:pStyle w:val="FirstParagraph"/>
      </w:pPr>
      <w:r>
        <w:t xml:space="preserve">8.1</w:t>
      </w:r>
      <w:r>
        <w:t xml:space="preserve"> </w:t>
      </w:r>
      <w:r>
        <w:rPr>
          <w:bCs/>
          <w:b/>
        </w:rPr>
        <w:t xml:space="preserve">Notification</w:t>
      </w:r>
      <w:r>
        <w:t xml:space="preserve"> </w:t>
      </w:r>
      <w:r>
        <w:t xml:space="preserve">:</w:t>
      </w:r>
      <w:r>
        <w:t xml:space="preserve"> </w:t>
      </w:r>
      <w:r>
        <w:t xml:space="preserve">En cas de Violation de données susceptible d’engendrer un risque pour les droits et libertés des Personnes concernées, le Sous-traitant notifie sans délai le Responsable de traitement, et au plus tard dans les soixante-douze (72) heures suivant la prise de connaissance de ladite violation, conformément à l’article 33 du RGPD. Cette notification comprend au minimum :</w:t>
      </w:r>
      <w:r>
        <w:t xml:space="preserve"> </w:t>
      </w:r>
      <w:r>
        <w:t xml:space="preserve">- La nature de la Violation de données ;</w:t>
      </w:r>
      <w:r>
        <w:t xml:space="preserve"> </w:t>
      </w:r>
      <w:r>
        <w:t xml:space="preserve">- Les catégories et le nombre approximatif de Personnes concernées ;</w:t>
      </w:r>
      <w:r>
        <w:t xml:space="preserve"> </w:t>
      </w:r>
      <w:r>
        <w:t xml:space="preserve">- Les catégories et le nombre approximatif d’enregistrements de Données à caractère personnel concernés ;</w:t>
      </w:r>
      <w:r>
        <w:t xml:space="preserve"> </w:t>
      </w:r>
      <w:r>
        <w:t xml:space="preserve">- Les coordonnées du DPO du Sous-traitant ou d’un autre point de contact ;</w:t>
      </w:r>
      <w:r>
        <w:t xml:space="preserve"> </w:t>
      </w:r>
      <w:r>
        <w:t xml:space="preserve">- Les conséquences probables de la Violation de données ;</w:t>
      </w:r>
      <w:r>
        <w:t xml:space="preserve"> </w:t>
      </w:r>
      <w:r>
        <w:t xml:space="preserve">- Les mesures prises ou proposées pour remédier à la Violation de données et atténuer ses effets négatifs.</w:t>
      </w:r>
    </w:p>
    <w:p>
      <w:pPr>
        <w:pStyle w:val="BodyText"/>
      </w:pPr>
      <w:r>
        <w:t xml:space="preserve">8.2</w:t>
      </w:r>
      <w:r>
        <w:t xml:space="preserve"> </w:t>
      </w:r>
      <w:r>
        <w:rPr>
          <w:bCs/>
          <w:b/>
        </w:rPr>
        <w:t xml:space="preserve">Coopération</w:t>
      </w:r>
      <w:r>
        <w:t xml:space="preserve"> </w:t>
      </w:r>
      <w:r>
        <w:t xml:space="preserve">:</w:t>
      </w:r>
      <w:r>
        <w:t xml:space="preserve"> </w:t>
      </w:r>
      <w:r>
        <w:t xml:space="preserve">Le Sous-traitant coopère avec le Responsable de traitement pour la gestion de la Violation de données, notamment en fournissant toute information complémentaire et en prenant les mesures correctives nécessaires.</w:t>
      </w:r>
    </w:p>
    <w:p>
      <w:r>
        <w:pict>
          <ns1:rect style="width:0;height:1.5pt" ns2:hralign="center" ns2:hrstd="t" ns2:hr="t"/>
        </w:pict>
      </w:r>
    </w:p>
    <w:bookmarkEnd w:id="30"/>
    <w:bookmarkStart w:id="31" w:name="X13d64ad3b9727c25f8da0bc5057469a26439b85"/>
    <w:p>
      <w:pPr>
        <w:pStyle w:val="Heading2"/>
      </w:pPr>
      <w:r>
        <w:t xml:space="preserve">ARTICLE 9 - TRANSFERTS INTERNATIONAUX DE DONNÉES</w:t>
      </w:r>
    </w:p>
    <w:p>
      <w:pPr>
        <w:pStyle w:val="FirstParagraph"/>
      </w:pPr>
      <w:r>
        <w:t xml:space="preserve">9.1</w:t>
      </w:r>
      <w:r>
        <w:t xml:space="preserve"> </w:t>
      </w:r>
      <w:r>
        <w:rPr>
          <w:bCs/>
          <w:b/>
        </w:rPr>
        <w:t xml:space="preserve">Cadre des transferts</w:t>
      </w:r>
      <w:r>
        <w:t xml:space="preserve"> </w:t>
      </w:r>
      <w:r>
        <w:t xml:space="preserve">:</w:t>
      </w:r>
      <w:r>
        <w:t xml:space="preserve"> </w:t>
      </w:r>
      <w:r>
        <w:t xml:space="preserve">Tout transfert de Données à caractère personnel vers un pays tiers ou à une organisation internationale est effectué conformément aux dispositions du chapitre V du RGPD. Les garanties appropriées mises en place par le Sous-traitant pour encadrer ces transferts sont détaillées à l’</w:t>
      </w:r>
      <w:r>
        <w:rPr>
          <w:bCs/>
          <w:b/>
        </w:rPr>
        <w:t xml:space="preserve">Annexe 4</w:t>
      </w:r>
      <w:r>
        <w:t xml:space="preserve"> </w:t>
      </w:r>
      <w:r>
        <w:t xml:space="preserve">du présent Contrat.</w:t>
      </w:r>
    </w:p>
    <w:p>
      <w:pPr>
        <w:pStyle w:val="BodyText"/>
      </w:pPr>
      <w:r>
        <w:t xml:space="preserve">9.2</w:t>
      </w:r>
      <w:r>
        <w:t xml:space="preserve"> </w:t>
      </w:r>
      <w:r>
        <w:rPr>
          <w:bCs/>
          <w:b/>
        </w:rPr>
        <w:t xml:space="preserve">Clauses contractuelles types</w:t>
      </w:r>
      <w:r>
        <w:t xml:space="preserve"> </w:t>
      </w:r>
      <w:r>
        <w:t xml:space="preserve">:</w:t>
      </w:r>
      <w:r>
        <w:t xml:space="preserve"> </w:t>
      </w:r>
      <w:r>
        <w:t xml:space="preserve">Les transferts internationaux de Données à caractère personnel sont encadrés par les Clauses contractuelles types adoptées par la Commission européenne, intégrées au présent Contrat par référence à l’</w:t>
      </w:r>
      <w:r>
        <w:rPr>
          <w:bCs/>
          <w:b/>
        </w:rPr>
        <w:t xml:space="preserve">Annexe 4</w:t>
      </w:r>
      <w:r>
        <w:t xml:space="preserve">.</w:t>
      </w:r>
    </w:p>
    <w:p>
      <w:r>
        <w:pict>
          <ns1:rect style="width:0;height:1.5pt" ns2:hralign="center" ns2:hrstd="t" ns2:hr="t"/>
        </w:pict>
      </w:r>
    </w:p>
    <w:bookmarkEnd w:id="31"/>
    <w:bookmarkStart w:id="32" w:name="article-10---audit-et-contrôle"/>
    <w:p>
      <w:pPr>
        <w:pStyle w:val="Heading2"/>
      </w:pPr>
      <w:r>
        <w:t xml:space="preserve">ARTICLE 10 - AUDIT ET CONTRÔLE</w:t>
      </w:r>
    </w:p>
    <w:p>
      <w:pPr>
        <w:pStyle w:val="FirstParagraph"/>
      </w:pPr>
      <w:r>
        <w:t xml:space="preserve">10.1</w:t>
      </w:r>
      <w:r>
        <w:t xml:space="preserve"> </w:t>
      </w:r>
      <w:r>
        <w:rPr>
          <w:bCs/>
          <w:b/>
        </w:rPr>
        <w:t xml:space="preserve">Droit d’audit</w:t>
      </w:r>
      <w:r>
        <w:t xml:space="preserve"> </w:t>
      </w:r>
      <w:r>
        <w:t xml:space="preserve">:</w:t>
      </w:r>
      <w:r>
        <w:t xml:space="preserve"> </w:t>
      </w:r>
      <w:r>
        <w:t xml:space="preserve">Le Responsable de traitement ou un auditeur mandaté par lui dispose d’un droit d’audit pour vérifier le respect par le Sous-traitant de ses obligations au titre du présent Contrat et du RGPD, conformément à l’article 28.3.h du RGPD. Les audits sont réalisés :</w:t>
      </w:r>
      <w:r>
        <w:t xml:space="preserve"> </w:t>
      </w:r>
      <w:r>
        <w:t xml:space="preserve">- Sur rendez-vous, à des intervalles raisonnables (au maximum une fois par an) ;</w:t>
      </w:r>
      <w:r>
        <w:t xml:space="preserve"> </w:t>
      </w:r>
      <w:r>
        <w:t xml:space="preserve">- Dans le respect des secrets d’affaires et des mesures de sécurité du Sous-traitant ;</w:t>
      </w:r>
      <w:r>
        <w:t xml:space="preserve"> </w:t>
      </w:r>
      <w:r>
        <w:t xml:space="preserve">- À la charge financière du Responsable de traitement, sauf en cas de manquement avéré du Sous-traitant.</w:t>
      </w:r>
    </w:p>
    <w:p>
      <w:pPr>
        <w:pStyle w:val="BodyText"/>
      </w:pPr>
      <w:r>
        <w:t xml:space="preserve">10.2</w:t>
      </w:r>
      <w:r>
        <w:t xml:space="preserve"> </w:t>
      </w:r>
      <w:r>
        <w:rPr>
          <w:bCs/>
          <w:b/>
        </w:rPr>
        <w:t xml:space="preserve">Preuves de conformité</w:t>
      </w:r>
      <w:r>
        <w:t xml:space="preserve"> </w:t>
      </w:r>
      <w:r>
        <w:t xml:space="preserve">:</w:t>
      </w:r>
      <w:r>
        <w:t xml:space="preserve"> </w:t>
      </w:r>
      <w:r>
        <w:t xml:space="preserve">Le Sous-traitant s’engage à fournir au Responsable de traitement, sur demande écrite, toute preuve de conformité aux obligations du présent Contrat, notamment sous forme de certifications, d’audits internes ou de rapports de sécurité.</w:t>
      </w:r>
    </w:p>
    <w:p>
      <w:r>
        <w:pict>
          <ns1:rect style="width:0;height:1.5pt" ns2:hralign="center" ns2:hrstd="t" ns2:hr="t"/>
        </w:pict>
      </w:r>
    </w:p>
    <w:bookmarkEnd w:id="32"/>
    <w:bookmarkStart w:id="33" w:name="X84b5e60434885277f3d29360c6e7ab332764562"/>
    <w:p>
      <w:pPr>
        <w:pStyle w:val="Heading2"/>
      </w:pPr>
      <w:r>
        <w:t xml:space="preserve">ARTICLE 11 - SORT DES DONNÉES EN FIN DE CONTRAT</w:t>
      </w:r>
    </w:p>
    <w:p>
      <w:pPr>
        <w:pStyle w:val="FirstParagraph"/>
      </w:pPr>
      <w:r>
        <w:t xml:space="preserve">11.1</w:t>
      </w:r>
      <w:r>
        <w:t xml:space="preserve"> </w:t>
      </w:r>
      <w:r>
        <w:rPr>
          <w:bCs/>
          <w:b/>
        </w:rPr>
        <w:t xml:space="preserve">Options en fin de contrat</w:t>
      </w:r>
      <w:r>
        <w:t xml:space="preserve"> </w:t>
      </w:r>
      <w:r>
        <w:t xml:space="preserve">:</w:t>
      </w:r>
      <w:r>
        <w:t xml:space="preserve"> </w:t>
      </w:r>
      <w:r>
        <w:t xml:space="preserve">À l’issue du présent Contrat, le Sous-traitant s’engage, au choix du Responsable de traitement et dans un délai de trente (30) jours :</w:t>
      </w:r>
      <w:r>
        <w:t xml:space="preserve"> </w:t>
      </w:r>
      <w:r>
        <w:t xml:space="preserve">- À supprimer définitivement toutes les Données à caractère personnel traitées pour le compte du Responsable de traitement, conformément à une procédure sécurisée ; ou</w:t>
      </w:r>
      <w:r>
        <w:t xml:space="preserve"> </w:t>
      </w:r>
      <w:r>
        <w:t xml:space="preserve">- À restituer les Données à caractère personnel au Responsable de traitement, sous un format structuré, couramment utilisé et lisible par machine, sans en conserver de copie.</w:t>
      </w:r>
    </w:p>
    <w:p>
      <w:pPr>
        <w:pStyle w:val="BodyText"/>
      </w:pPr>
      <w:r>
        <w:t xml:space="preserve">11.2</w:t>
      </w:r>
      <w:r>
        <w:t xml:space="preserve"> </w:t>
      </w:r>
      <w:r>
        <w:rPr>
          <w:bCs/>
          <w:b/>
        </w:rPr>
        <w:t xml:space="preserve">Preuve de suppression</w:t>
      </w:r>
      <w:r>
        <w:t xml:space="preserve"> </w:t>
      </w:r>
      <w:r>
        <w:t xml:space="preserve">:</w:t>
      </w:r>
      <w:r>
        <w:t xml:space="preserve"> </w:t>
      </w:r>
      <w:r>
        <w:t xml:space="preserve">Le Sous-traitant fournit au Responsable de traitement un certificat de suppression signé par son DPO, attestant de la suppression effective des Données à caractère personnel, dans un délai de quinze (15) jours suivant leur suppression.</w:t>
      </w:r>
    </w:p>
    <w:p>
      <w:pPr>
        <w:pStyle w:val="BodyText"/>
      </w:pPr>
      <w:r>
        <w:t xml:space="preserve">11.3</w:t>
      </w:r>
      <w:r>
        <w:t xml:space="preserve"> </w:t>
      </w:r>
      <w:r>
        <w:rPr>
          <w:bCs/>
          <w:b/>
        </w:rPr>
        <w:t xml:space="preserve">Conservation résiduelle</w:t>
      </w:r>
      <w:r>
        <w:t xml:space="preserve"> </w:t>
      </w:r>
      <w:r>
        <w:t xml:space="preserve">:</w:t>
      </w:r>
      <w:r>
        <w:t xml:space="preserve"> </w:t>
      </w:r>
      <w:r>
        <w:t xml:space="preserve">Le Sous-traitant peut conserver les</w:t>
      </w:r>
      <w:r>
        <w:t xml:space="preserve"> </w:t>
      </w:r>
      <w:r>
        <w:rPr>
          <w:bCs/>
          <w:b/>
        </w:rPr>
        <w:t xml:space="preserve">usage_logs</w:t>
      </w:r>
      <w:r>
        <w:t xml:space="preserve"> </w:t>
      </w:r>
      <w:r>
        <w:t xml:space="preserve">pendant une durée maximale de treize (13) mois à compter de leur génération, et les comptes utilisateurs pendant une durée maximale de trois (3) ans à compter de la résiliation du présent Contrat, à des fins de preuve et de conformité légale.</w:t>
      </w:r>
    </w:p>
    <w:p>
      <w:r>
        <w:pict>
          <ns1:rect style="width:0;height:1.5pt" ns2:hralign="center" ns2:hrstd="t" ns2:hr="t"/>
        </w:pict>
      </w:r>
    </w:p>
    <w:bookmarkEnd w:id="33"/>
    <w:bookmarkStart w:id="34" w:name="article-12---responsabilité"/>
    <w:p>
      <w:pPr>
        <w:pStyle w:val="Heading2"/>
      </w:pPr>
      <w:r>
        <w:t xml:space="preserve">ARTICLE 12 - RESPONSABILITÉ</w:t>
      </w:r>
    </w:p>
    <w:p>
      <w:pPr>
        <w:pStyle w:val="FirstParagraph"/>
      </w:pPr>
      <w:r>
        <w:t xml:space="preserve">12.1</w:t>
      </w:r>
      <w:r>
        <w:t xml:space="preserve"> </w:t>
      </w:r>
      <w:r>
        <w:rPr>
          <w:bCs/>
          <w:b/>
        </w:rPr>
        <w:t xml:space="preserve">Responsabilité du Sous-traitant</w:t>
      </w:r>
      <w:r>
        <w:t xml:space="preserve"> </w:t>
      </w:r>
      <w:r>
        <w:t xml:space="preserve">:</w:t>
      </w:r>
      <w:r>
        <w:t xml:space="preserve"> </w:t>
      </w:r>
      <w:r>
        <w:t xml:space="preserve">Le Sous-traitant est responsable des dommages causés par le traitement des Données à caractère personnel uniquement s’il n’a pas respecté les obligations qui incombent spécifiquement aux Sous-traitants en vertu du RGPD, ou s’il a agi en dehors ou contrairement aux instructions licites du Responsable de traitement, conformément à l’article 82.2 du RGPD.</w:t>
      </w:r>
    </w:p>
    <w:p>
      <w:pPr>
        <w:pStyle w:val="BodyText"/>
      </w:pPr>
      <w:r>
        <w:t xml:space="preserve">12.2</w:t>
      </w:r>
      <w:r>
        <w:t xml:space="preserve"> </w:t>
      </w:r>
      <w:r>
        <w:rPr>
          <w:bCs/>
          <w:b/>
        </w:rPr>
        <w:t xml:space="preserve">Limitation de responsabilité</w:t>
      </w:r>
      <w:r>
        <w:t xml:space="preserve"> </w:t>
      </w:r>
      <w:r>
        <w:t xml:space="preserve">:</w:t>
      </w:r>
      <w:r>
        <w:t xml:space="preserve"> </w:t>
      </w:r>
      <w:r>
        <w:t xml:space="preserve">La responsabilité du Sous-traitant est limitée aux dommages directs subis par le Responsable de traitement, à l’exclusion des dommages indirects (tels que perte de chiffre d’affaires, atteinte à l’image, etc.). Le montant total de la responsabilité du Sous-traitant au titre du présent Contrat ne peut excéder le montant des sommes perçues par le Sous-traitant au cours des douze (12) derniers mois précédant l’événement générateur du dommage.</w:t>
      </w:r>
    </w:p>
    <w:p>
      <w:pPr>
        <w:pStyle w:val="BodyText"/>
      </w:pPr>
      <w:r>
        <w:t xml:space="preserve">12.3</w:t>
      </w:r>
      <w:r>
        <w:t xml:space="preserve"> </w:t>
      </w:r>
      <w:r>
        <w:rPr>
          <w:bCs/>
          <w:b/>
        </w:rPr>
        <w:t xml:space="preserve">Indemnisation</w:t>
      </w:r>
      <w:r>
        <w:t xml:space="preserve"> </w:t>
      </w:r>
      <w:r>
        <w:t xml:space="preserve">:</w:t>
      </w:r>
      <w:r>
        <w:t xml:space="preserve"> </w:t>
      </w:r>
      <w:r>
        <w:t xml:space="preserve">Le Sous-traitant indemnise le Responsable de traitement pour tout préjudice subi du fait d’un manquement à ses obligations au titre du présent Contrat, sous réserve que le Responsable de traitement ait notifié par écrit ledit manquement dans un délai de trente (30) jours suivant sa découverte.</w:t>
      </w:r>
    </w:p>
    <w:p>
      <w:r>
        <w:pict>
          <ns1:rect style="width:0;height:1.5pt" ns2:hralign="center" ns2:hrstd="t" ns2:hr="t"/>
        </w:pict>
      </w:r>
    </w:p>
    <w:bookmarkEnd w:id="34"/>
    <w:bookmarkStart w:id="35" w:name="article-13---conformité-à-lai-act"/>
    <w:p>
      <w:pPr>
        <w:pStyle w:val="Heading2"/>
      </w:pPr>
      <w:r>
        <w:t xml:space="preserve">ARTICLE 13 - CONFORMITÉ À L’AI ACT</w:t>
      </w:r>
    </w:p>
    <w:p>
      <w:pPr>
        <w:pStyle w:val="FirstParagraph"/>
      </w:pPr>
      <w:r>
        <w:t xml:space="preserve">13.1</w:t>
      </w:r>
      <w:r>
        <w:t xml:space="preserve"> </w:t>
      </w:r>
      <w:r>
        <w:rPr>
          <w:bCs/>
          <w:b/>
        </w:rPr>
        <w:t xml:space="preserve">Risque limité</w:t>
      </w:r>
      <w:r>
        <w:t xml:space="preserve"> </w:t>
      </w:r>
      <w:r>
        <w:t xml:space="preserve">:</w:t>
      </w:r>
      <w:r>
        <w:t xml:space="preserve"> </w:t>
      </w:r>
      <w:r>
        <w:t xml:space="preserve">Le service PennyPilot est classé comme présentant un</w:t>
      </w:r>
      <w:r>
        <w:t xml:space="preserve"> </w:t>
      </w:r>
      <w:r>
        <w:rPr>
          <w:bCs/>
          <w:b/>
        </w:rPr>
        <w:t xml:space="preserve">« risque limité »</w:t>
      </w:r>
      <w:r>
        <w:t xml:space="preserve"> </w:t>
      </w:r>
      <w:r>
        <w:t xml:space="preserve">au sens de l’article 6.3 de l’AI Act, dans la mesure où il se limite à une analyse comptable en lecture seule, sans prise de décision automatisée produisant des effets juridiques ou affectant significativement les Personnes concernées.</w:t>
      </w:r>
    </w:p>
    <w:p>
      <w:pPr>
        <w:pStyle w:val="BodyText"/>
      </w:pPr>
      <w:r>
        <w:t xml:space="preserve">13.2</w:t>
      </w:r>
      <w:r>
        <w:t xml:space="preserve"> </w:t>
      </w:r>
      <w:r>
        <w:rPr>
          <w:bCs/>
          <w:b/>
        </w:rPr>
        <w:t xml:space="preserve">Transparence</w:t>
      </w:r>
      <w:r>
        <w:t xml:space="preserve"> </w:t>
      </w:r>
      <w:r>
        <w:t xml:space="preserve">:</w:t>
      </w:r>
      <w:r>
        <w:t xml:space="preserve"> </w:t>
      </w:r>
      <w:r>
        <w:t xml:space="preserve">Le Sous-traitant s’engage à informer le Responsable de traitement, conformément aux articles 50 à 55 de l’AI Act, des caractéristiques, capacités et limites du système d’IA utilisé dans le cadre de PennyPilot, notamment :</w:t>
      </w:r>
      <w:r>
        <w:t xml:space="preserve"> </w:t>
      </w:r>
      <w:r>
        <w:t xml:space="preserve">- Le fait que les Personnes concernées interagissent avec un système d’IA ;</w:t>
      </w:r>
      <w:r>
        <w:t xml:space="preserve"> </w:t>
      </w:r>
      <w:r>
        <w:t xml:space="preserve">- Les finalités du traitement automatisé ;</w:t>
      </w:r>
      <w:r>
        <w:t xml:space="preserve"> </w:t>
      </w:r>
      <w:r>
        <w:t xml:space="preserve">- Les mesures mises en place pour garantir la qualité et la sécurité des données.</w:t>
      </w:r>
    </w:p>
    <w:p>
      <w:pPr>
        <w:pStyle w:val="BodyText"/>
      </w:pPr>
      <w:r>
        <w:t xml:space="preserve">13.3</w:t>
      </w:r>
      <w:r>
        <w:t xml:space="preserve"> </w:t>
      </w:r>
      <w:r>
        <w:rPr>
          <w:bCs/>
          <w:b/>
        </w:rPr>
        <w:t xml:space="preserve">Non-décisionnel</w:t>
      </w:r>
      <w:r>
        <w:t xml:space="preserve"> </w:t>
      </w:r>
      <w:r>
        <w:t xml:space="preserve">:</w:t>
      </w:r>
      <w:r>
        <w:t xml:space="preserve"> </w:t>
      </w:r>
      <w:r>
        <w:t xml:space="preserve">Le Sous-traitant garantit que le service PennyPilot ne prend aucune décision automatisée produisant des effets juridiques ou affectant de manière significative les Personnes concernées, conformément à l’article 22 du RGPD et à l’article 14 de l’AI Act.</w:t>
      </w:r>
    </w:p>
    <w:p>
      <w:r>
        <w:pict>
          <ns1:rect style="width:0;height:1.5pt" ns2:hralign="center" ns2:hrstd="t" ns2:hr="t"/>
        </w:pict>
      </w:r>
    </w:p>
    <w:bookmarkEnd w:id="35"/>
    <w:bookmarkStart w:id="36" w:name="X25bb3764a78383c5d2ba60a0fc4c0aaa8f43e59"/>
    <w:p>
      <w:pPr>
        <w:pStyle w:val="Heading2"/>
      </w:pPr>
      <w:r>
        <w:t xml:space="preserve">ARTICLE 14 - DROIT APPLICABLE ET JURIDICTION</w:t>
      </w:r>
    </w:p>
    <w:p>
      <w:pPr>
        <w:pStyle w:val="FirstParagraph"/>
      </w:pPr>
      <w:r>
        <w:t xml:space="preserve">14.1</w:t>
      </w:r>
      <w:r>
        <w:t xml:space="preserve"> </w:t>
      </w:r>
      <w:r>
        <w:rPr>
          <w:bCs/>
          <w:b/>
        </w:rPr>
        <w:t xml:space="preserve">Droit applicable</w:t>
      </w:r>
      <w:r>
        <w:t xml:space="preserve"> </w:t>
      </w:r>
      <w:r>
        <w:t xml:space="preserve">:</w:t>
      </w:r>
      <w:r>
        <w:t xml:space="preserve"> </w:t>
      </w:r>
      <w:r>
        <w:t xml:space="preserve">Le présent Contrat est régi par le droit français, notamment le RGPD, la loi n° 78-17 du 6 janvier 1978 modifiée, et les dispositions du Code civil et du Code de commerce applicables aux contrats.</w:t>
      </w:r>
    </w:p>
    <w:p>
      <w:pPr>
        <w:pStyle w:val="BodyText"/>
      </w:pPr>
      <w:r>
        <w:t xml:space="preserve">14.2</w:t>
      </w:r>
      <w:r>
        <w:t xml:space="preserve"> </w:t>
      </w:r>
      <w:r>
        <w:rPr>
          <w:bCs/>
          <w:b/>
        </w:rPr>
        <w:t xml:space="preserve">Juridiction compétente</w:t>
      </w:r>
      <w:r>
        <w:t xml:space="preserve"> </w:t>
      </w:r>
      <w:r>
        <w:t xml:space="preserve">:</w:t>
      </w:r>
      <w:r>
        <w:t xml:space="preserve"> </w:t>
      </w:r>
      <w:r>
        <w:t xml:space="preserve">Tout litige relatif à l’interprétation, l’exécution ou la résiliation du présent Contrat sera soumis à la compétence exclusive du Tribunal de commerce de Paris.</w:t>
      </w:r>
    </w:p>
    <w:p>
      <w:r>
        <w:pict>
          <ns1:rect style="width:0;height:1.5pt" ns2:hralign="center" ns2:hrstd="t" ns2:hr="t"/>
        </w:pict>
      </w:r>
    </w:p>
    <w:p>
      <w:pPr>
        <w:pStyle w:val="FirstParagraph"/>
      </w:pPr>
      <w:r>
        <w:rPr>
          <w:bCs/>
          <w:b/>
        </w:rPr>
        <w:t xml:space="preserve">Fait à [VILLE], le [DATE]</w:t>
      </w:r>
    </w:p>
    <w:p>
      <w:pPr>
        <w:pStyle w:val="BodyText"/>
      </w:pPr>
      <w:r>
        <w:rPr>
          <w:bCs/>
          <w:b/>
        </w:rPr>
        <w:t xml:space="preserve">En deux exemplaires originaux.</w:t>
      </w:r>
    </w:p>
    <w:p>
      <w:pPr>
        <w:pStyle w:val="BodyText"/>
      </w:pPr>
      <w:r>
        <w:rPr>
          <w:bCs/>
          <w:b/>
        </w:rPr>
        <w:t xml:space="preserve">Pour le Responsable de traitement :</w:t>
      </w:r>
      <w:r>
        <w:t xml:space="preserve"> </w:t>
      </w:r>
      <w:r>
        <w:rPr>
          <w:bCs/>
          <w:b/>
        </w:rPr>
        <w:t xml:space="preserve">[RAISON SOCIALE]</w:t>
      </w:r>
      <w:r>
        <w:t xml:space="preserve"> </w:t>
      </w:r>
      <w:r>
        <w:t xml:space="preserve">Représenté par [REPRÉSENTANT], [QUALITÉ]</w:t>
      </w:r>
    </w:p>
    <w:p>
      <w:pPr>
        <w:pStyle w:val="BodyText"/>
      </w:pPr>
      <w:r>
        <w:t xml:space="preserve">Signature :</w:t>
      </w:r>
      <w:r>
        <w:t xml:space="preserve"> </w:t>
      </w:r>
      <w:r>
        <w:t xml:space="preserve">________________________</w:t>
      </w:r>
    </w:p>
    <w:p>
      <w:pPr>
        <w:pStyle w:val="BodyText"/>
      </w:pPr>
      <w:r>
        <w:t xml:space="preserve">Cachet de l’entreprise :</w:t>
      </w:r>
      <w:r>
        <w:t xml:space="preserve"> </w:t>
      </w:r>
      <w:r>
        <w:t xml:space="preserve">________________________</w:t>
      </w:r>
    </w:p>
    <w:p>
      <w:pPr>
        <w:pStyle w:val="BodyText"/>
      </w:pPr>
      <w:r>
        <w:rPr>
          <w:bCs/>
          <w:b/>
        </w:rPr>
        <w:t xml:space="preserve">Pour le Sous-traitant :</w:t>
      </w:r>
      <w:r>
        <w:t xml:space="preserve"> </w:t>
      </w:r>
      <w:r>
        <w:rPr>
          <w:bCs/>
          <w:b/>
        </w:rPr>
        <w:t xml:space="preserve">HOLCO INVEST</w:t>
      </w:r>
      <w:r>
        <w:t xml:space="preserve"> </w:t>
      </w:r>
      <w:r>
        <w:t xml:space="preserve">Représenté par Pierre Coquard, gérant</w:t>
      </w:r>
    </w:p>
    <w:p>
      <w:pPr>
        <w:pStyle w:val="BodyText"/>
      </w:pPr>
      <w:r>
        <w:t xml:space="preserve">Signature :</w:t>
      </w:r>
      <w:r>
        <w:t xml:space="preserve"> </w:t>
      </w:r>
      <w:r>
        <w:t xml:space="preserve">________________________</w:t>
      </w:r>
    </w:p>
    <w:p>
      <w:pPr>
        <w:pStyle w:val="BodyText"/>
      </w:pPr>
      <w:r>
        <w:t xml:space="preserve">Cachet de l’entreprise :</w:t>
      </w:r>
      <w:r>
        <w:t xml:space="preserve"> </w:t>
      </w:r>
      <w:r>
        <w:t xml:space="preserve">________________________</w:t>
      </w:r>
    </w:p>
    <w:p>
      <w:r>
        <w:pict>
          <ns1:rect style="width:0;height:1.5pt" ns2:hralign="center" ns2:hrstd="t" ns2:hr="t"/>
        </w:pict>
      </w:r>
    </w:p>
    <w:bookmarkEnd w:id="36"/>
    <w:bookmarkEnd w:id="37"/>
    <w:bookmarkStart w:id="38" w:name="pièce-a2-annexes-1-2-du-dpa"/>
    <w:p>
      <w:pPr>
        <w:pStyle w:val="Heading1"/>
      </w:pPr>
      <w:r>
        <w:t xml:space="preserve">PIÈCE A2 — Annexes 1 &amp; 2 du DPA</w:t>
      </w:r>
    </w:p>
    <w:bookmarkEnd w:id="38"/>
    <w:bookmarkStart w:id="44" w:name="X4748a958f74aff63e68df170bcd852ceda89425"/>
    <w:p>
      <w:pPr>
        <w:pStyle w:val="Heading1"/>
      </w:pPr>
      <w:r>
        <w:t xml:space="preserve">ANNEXE 1 — DESCRIPTION DÉTAILLÉE DU TRAITEMENT</w:t>
      </w:r>
    </w:p>
    <w:p>
      <w:pPr>
        <w:pStyle w:val="FirstParagraph"/>
      </w:pPr>
      <w:r>
        <w:rPr>
          <w:iCs/>
          <w:i/>
        </w:rPr>
        <w:t xml:space="preserve">(Conformément aux articles 28.3 et 30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bookmarkStart w:id="39" w:name="finalités-du-traitement"/>
    <w:p>
      <w:pPr>
        <w:pStyle w:val="Heading2"/>
      </w:pPr>
      <w:r>
        <w:t xml:space="preserve">1. Finalités du traitement</w:t>
      </w:r>
    </w:p>
    <w:p>
      <w:pPr>
        <w:pStyle w:val="FirstParagraph"/>
      </w:pPr>
      <w:r>
        <w:t xml:space="preserve">Le traitement des données à caractère personnel est réalisé par</w:t>
      </w:r>
      <w:r>
        <w:t xml:space="preserve"> </w:t>
      </w:r>
      <w:r>
        <w:rPr>
          <w:bCs/>
          <w:b/>
        </w:rPr>
        <w:t xml:space="preserve">HOLCO</w:t>
      </w:r>
      <w:r>
        <w:t xml:space="preserve"> </w:t>
      </w:r>
      <w:r>
        <w:t xml:space="preserve">(SIREN 819 582 453), en qualité de sous-traitant, pour le compte du</w:t>
      </w:r>
      <w:r>
        <w:t xml:space="preserve"> </w:t>
      </w:r>
      <w:r>
        <w:rPr>
          <w:bCs/>
          <w:b/>
        </w:rPr>
        <w:t xml:space="preserve">Cabinet [NOM_DU_CABINET]</w:t>
      </w:r>
      <w:r>
        <w:t xml:space="preserve">, responsable de traitement, aux fins suivantes :</w:t>
      </w:r>
    </w:p>
    <w:tbl>
      <w:tblPr>
        <w:tblStyle w:val="Table"/>
        <w:tblW w:type="pct" w:w="5000"/>
        <w:tblLook w:firstRow="1" w:lastRow="0" w:firstColumn="0" w:lastColumn="0" w:noHBand="0" w:noVBand="0" w:val="0020"/>
        <w:jc w:val="start"/>
      </w:tblPr>
      <w:tblGrid>
        <w:gridCol w:w="1923"/>
        <w:gridCol w:w="774"/>
        <w:gridCol w:w="5221"/>
      </w:tblGrid>
      <w:tr>
        <w:trPr>
          <w:tblHeader w:val="true"/>
        </w:trPr>
        <w:tc>
          <w:tcPr/>
          <w:p>
            <w:pPr>
              <w:pStyle w:val="Compact"/>
              <w:jc w:val="left"/>
            </w:pPr>
            <w:r>
              <w:rPr>
                <w:bCs/>
                <w:b/>
              </w:rPr>
              <w:t xml:space="preserve">Finalité</w:t>
            </w:r>
          </w:p>
        </w:tc>
        <w:tc>
          <w:tcPr/>
          <w:p>
            <w:pPr>
              <w:pStyle w:val="Compact"/>
              <w:jc w:val="left"/>
            </w:pPr>
            <w:r>
              <w:rPr>
                <w:bCs/>
                <w:b/>
              </w:rPr>
              <w:t xml:space="preserve">Base légale</w:t>
            </w:r>
            <w:r>
              <w:t xml:space="preserve"> </w:t>
            </w:r>
            <w:r>
              <w:t xml:space="preserve">(art. 6 RGPD)</w:t>
            </w:r>
          </w:p>
        </w:tc>
        <w:tc>
          <w:tcPr/>
          <w:p>
            <w:pPr>
              <w:pStyle w:val="Compact"/>
              <w:jc w:val="left"/>
            </w:pPr>
            <w:r>
              <w:rPr>
                <w:bCs/>
                <w:b/>
              </w:rPr>
              <w:t xml:space="preserve">Description</w:t>
            </w:r>
          </w:p>
        </w:tc>
      </w:tr>
      <w:tr>
        <w:tc>
          <w:tcPr/>
          <w:p>
            <w:pPr>
              <w:pStyle w:val="Compact"/>
              <w:jc w:val="left"/>
            </w:pPr>
            <w:r>
              <w:t xml:space="preserve">Analyse comptable en lecture seule pour le compte du cabinet</w:t>
            </w:r>
          </w:p>
        </w:tc>
        <w:tc>
          <w:tcPr/>
          <w:p>
            <w:pPr>
              <w:pStyle w:val="Compact"/>
              <w:jc w:val="left"/>
            </w:pPr>
            <w:r>
              <w:t xml:space="preserve">Intérêt légitime</w:t>
            </w:r>
          </w:p>
        </w:tc>
        <w:tc>
          <w:tcPr/>
          <w:p>
            <w:pPr>
              <w:pStyle w:val="Compact"/>
              <w:jc w:val="left"/>
            </w:pPr>
            <w:r>
              <w:t xml:space="preserve">Permettre au cabinet d’effectuer des analyses comptables sur les données de ses clients (entreprises suivies) via une interface en lecture seule, sans modification des données sources.</w:t>
            </w:r>
          </w:p>
        </w:tc>
      </w:tr>
      <w:tr>
        <w:tc>
          <w:tcPr/>
          <w:p>
            <w:pPr>
              <w:pStyle w:val="Compact"/>
              <w:jc w:val="left"/>
            </w:pPr>
            <w:r>
              <w:t xml:space="preserve">Routage de requêtes GET vers l’API Pennylane</w:t>
            </w:r>
          </w:p>
        </w:tc>
        <w:tc>
          <w:tcPr/>
          <w:p>
            <w:pPr>
              <w:pStyle w:val="Compact"/>
              <w:jc w:val="left"/>
            </w:pPr>
            <w:r>
              <w:t xml:space="preserve">Exécution du contrat</w:t>
            </w:r>
          </w:p>
        </w:tc>
        <w:tc>
          <w:tcPr/>
          <w:p>
            <w:pPr>
              <w:pStyle w:val="Compact"/>
              <w:jc w:val="left"/>
            </w:pPr>
            <w:r>
              <w:t xml:space="preserve">Transmettre les requêtes de consultation des données comptables depuis l’application</w:t>
            </w:r>
            <w:r>
              <w:t xml:space="preserve"> </w:t>
            </w:r>
            <w:r>
              <w:rPr>
                <w:bCs/>
                <w:b/>
              </w:rPr>
              <w:t xml:space="preserve">PennyPilot</w:t>
            </w:r>
            <w:r>
              <w:t xml:space="preserve"> </w:t>
            </w:r>
            <w:r>
              <w:t xml:space="preserve">vers l’API</w:t>
            </w:r>
            <w:r>
              <w:t xml:space="preserve"> </w:t>
            </w:r>
            <w:r>
              <w:rPr>
                <w:bCs/>
                <w:b/>
              </w:rPr>
              <w:t xml:space="preserve">Pennylane</w:t>
            </w:r>
            <w:r>
              <w:t xml:space="preserve">, en assurant un transit sécurisé et sans stockage durable des données.</w:t>
            </w:r>
          </w:p>
        </w:tc>
      </w:tr>
      <w:tr>
        <w:tc>
          <w:tcPr/>
          <w:p>
            <w:pPr>
              <w:pStyle w:val="Compact"/>
              <w:jc w:val="left"/>
            </w:pPr>
            <w:r>
              <w:t xml:space="preserve">Journalisation technique des usages (usage_logs)</w:t>
            </w:r>
          </w:p>
        </w:tc>
        <w:tc>
          <w:tcPr/>
          <w:p>
            <w:pPr>
              <w:pStyle w:val="Compact"/>
              <w:jc w:val="left"/>
            </w:pPr>
            <w:r>
              <w:t xml:space="preserve">Intérêt légitime</w:t>
            </w:r>
          </w:p>
        </w:tc>
        <w:tc>
          <w:tcPr/>
          <w:p>
            <w:pPr>
              <w:pStyle w:val="Compact"/>
              <w:jc w:val="left"/>
            </w:pPr>
            <w:r>
              <w:t xml:space="preserve">Enregistrer les métadonnées des opérations réalisées (ex : routes consultées, statut des requêtes, latence) à des fins de traçabilité, de débogage et d’amélioration du service, sans capturer de données comptables.</w:t>
            </w:r>
          </w:p>
        </w:tc>
      </w:tr>
    </w:tbl>
    <w:bookmarkEnd w:id="39"/>
    <w:bookmarkStart w:id="40" w:name="nature-des-opérations-de-traitement"/>
    <w:p>
      <w:pPr>
        <w:pStyle w:val="Heading2"/>
      </w:pPr>
      <w:r>
        <w:t xml:space="preserve">2. Nature des opérations de traitement</w:t>
      </w:r>
    </w:p>
    <w:p>
      <w:pPr>
        <w:pStyle w:val="FirstParagraph"/>
      </w:pPr>
      <w:r>
        <w:t xml:space="preserve">Les opérations réalisées par</w:t>
      </w:r>
      <w:r>
        <w:t xml:space="preserve"> </w:t>
      </w:r>
      <w:r>
        <w:rPr>
          <w:bCs/>
          <w:b/>
        </w:rPr>
        <w:t xml:space="preserve">HOLCO</w:t>
      </w:r>
      <w:r>
        <w:t xml:space="preserve"> </w:t>
      </w:r>
      <w:r>
        <w:t xml:space="preserve">sur les données à caractère personnel sont strictement limitées aux actions suivantes :</w:t>
      </w:r>
    </w:p>
    <w:tbl>
      <w:tblPr>
        <w:tblStyle w:val="Table"/>
        <w:tblW w:type="pct" w:w="5000"/>
        <w:tblLook w:firstRow="1" w:lastRow="0" w:firstColumn="0" w:lastColumn="0" w:noHBand="0" w:noVBand="0" w:val="0020"/>
        <w:jc w:val="start"/>
      </w:tblPr>
      <w:tblGrid>
        <w:gridCol w:w="723"/>
        <w:gridCol w:w="7196"/>
      </w:tblGrid>
      <w:tr>
        <w:trPr>
          <w:tblHeader w:val="true"/>
        </w:trPr>
        <w:tc>
          <w:tcPr/>
          <w:p>
            <w:pPr>
              <w:pStyle w:val="Compact"/>
              <w:jc w:val="left"/>
            </w:pPr>
            <w:r>
              <w:rPr>
                <w:bCs/>
                <w:b/>
              </w:rPr>
              <w:t xml:space="preserve">Opération</w:t>
            </w:r>
          </w:p>
        </w:tc>
        <w:tc>
          <w:tcPr/>
          <w:p>
            <w:pPr>
              <w:pStyle w:val="Compact"/>
              <w:jc w:val="left"/>
            </w:pPr>
            <w:r>
              <w:rPr>
                <w:bCs/>
                <w:b/>
              </w:rPr>
              <w:t xml:space="preserve">Description</w:t>
            </w:r>
          </w:p>
        </w:tc>
      </w:tr>
      <w:tr>
        <w:tc>
          <w:tcPr/>
          <w:p>
            <w:pPr>
              <w:pStyle w:val="Compact"/>
              <w:jc w:val="left"/>
            </w:pPr>
            <w:r>
              <w:t xml:space="preserve">Consultation</w:t>
            </w:r>
          </w:p>
        </w:tc>
        <w:tc>
          <w:tcPr/>
          <w:p>
            <w:pPr>
              <w:pStyle w:val="Compact"/>
              <w:jc w:val="left"/>
            </w:pPr>
            <w:r>
              <w:t xml:space="preserve">Lecture des données comptables (balances, grand-livre, journaux, écritures, factures) et des données d’identification des collaborateurs (email, nom, rôle) via l’API Pennylane, sans modification ni copie durable.</w:t>
            </w:r>
          </w:p>
        </w:tc>
      </w:tr>
      <w:tr>
        <w:tc>
          <w:tcPr/>
          <w:p>
            <w:pPr>
              <w:pStyle w:val="Compact"/>
              <w:jc w:val="left"/>
            </w:pPr>
            <w:r>
              <w:t xml:space="preserve">Transit</w:t>
            </w:r>
          </w:p>
        </w:tc>
        <w:tc>
          <w:tcPr/>
          <w:p>
            <w:pPr>
              <w:pStyle w:val="Compact"/>
              <w:jc w:val="left"/>
            </w:pPr>
            <w:r>
              <w:t xml:space="preserve">Transmission des requêtes GET/HEAD entre</w:t>
            </w:r>
            <w:r>
              <w:t xml:space="preserve"> </w:t>
            </w:r>
            <w:r>
              <w:rPr>
                <w:bCs/>
                <w:b/>
              </w:rPr>
              <w:t xml:space="preserve">PennyPilot</w:t>
            </w:r>
            <w:r>
              <w:t xml:space="preserve"> </w:t>
            </w:r>
            <w:r>
              <w:t xml:space="preserve">et l’API</w:t>
            </w:r>
            <w:r>
              <w:t xml:space="preserve"> </w:t>
            </w:r>
            <w:r>
              <w:rPr>
                <w:bCs/>
                <w:b/>
              </w:rPr>
              <w:t xml:space="preserve">Pennylane</w:t>
            </w:r>
            <w:r>
              <w:t xml:space="preserve">, sans stockage intermédiaire des données comptables (zéro cache, zéro copie durable).</w:t>
            </w:r>
          </w:p>
        </w:tc>
      </w:tr>
      <w:tr>
        <w:tc>
          <w:tcPr/>
          <w:p>
            <w:pPr>
              <w:pStyle w:val="Compact"/>
              <w:jc w:val="left"/>
            </w:pPr>
            <w:r>
              <w:t xml:space="preserve">Journalisation</w:t>
            </w:r>
          </w:p>
        </w:tc>
        <w:tc>
          <w:tcPr/>
          <w:p>
            <w:pPr>
              <w:pStyle w:val="Compact"/>
              <w:jc w:val="left"/>
            </w:pPr>
            <w:r>
              <w:t xml:space="preserve">Enregistrement des métadonnées techniques des requêtes (ex : route, outil, statut HTTP, latence, horodatage, identifiant utilisateur) dans les</w:t>
            </w:r>
            <w:r>
              <w:t xml:space="preserve"> </w:t>
            </w:r>
            <w:r>
              <w:rPr>
                <w:bCs/>
                <w:b/>
              </w:rPr>
              <w:t xml:space="preserve">usage_logs</w:t>
            </w:r>
            <w:r>
              <w:t xml:space="preserve">, sans capturer le contenu des données comptables.</w:t>
            </w:r>
          </w:p>
        </w:tc>
      </w:tr>
    </w:tbl>
    <w:p>
      <w:pPr>
        <w:pStyle w:val="BodyText"/>
      </w:pPr>
      <w:r>
        <w:rPr>
          <w:bCs/>
          <w:b/>
        </w:rPr>
        <w:t xml:space="preserve">Exclusion</w:t>
      </w:r>
      <w:r>
        <w:t xml:space="preserve"> </w:t>
      </w:r>
      <w:r>
        <w:t xml:space="preserve">: Aucune opération d’écriture, de modification, de suppression ou de copie durable des données comptables n’est réalisée par</w:t>
      </w:r>
      <w:r>
        <w:t xml:space="preserve"> </w:t>
      </w:r>
      <w:r>
        <w:rPr>
          <w:bCs/>
          <w:b/>
        </w:rPr>
        <w:t xml:space="preserve">HOLCO</w:t>
      </w:r>
      <w:r>
        <w:t xml:space="preserve">.</w:t>
      </w:r>
    </w:p>
    <w:bookmarkEnd w:id="40"/>
    <w:bookmarkStart w:id="41" w:name="catégories-de-personnes-concernées"/>
    <w:p>
      <w:pPr>
        <w:pStyle w:val="Heading2"/>
      </w:pPr>
      <w:r>
        <w:t xml:space="preserve">3. Catégories de personnes concernées</w:t>
      </w:r>
    </w:p>
    <w:p>
      <w:pPr>
        <w:pStyle w:val="FirstParagraph"/>
      </w:pPr>
      <w:r>
        <w:t xml:space="preserve">Les données à caractère personnel traitées concernent les catégories suivantes de personnes :</w:t>
      </w:r>
    </w:p>
    <w:tbl>
      <w:tblPr>
        <w:tblStyle w:val="Table"/>
        <w:tblW w:type="pct" w:w="5000"/>
        <w:tblLook w:firstRow="1" w:lastRow="0" w:firstColumn="0" w:lastColumn="0" w:noHBand="0" w:noVBand="0" w:val="0020"/>
        <w:jc w:val="start"/>
      </w:tblPr>
      <w:tblGrid>
        <w:gridCol w:w="1377"/>
        <w:gridCol w:w="6542"/>
      </w:tblGrid>
      <w:tr>
        <w:trPr>
          <w:tblHeader w:val="true"/>
        </w:trPr>
        <w:tc>
          <w:tcPr/>
          <w:p>
            <w:pPr>
              <w:pStyle w:val="Compact"/>
              <w:jc w:val="left"/>
            </w:pPr>
            <w:r>
              <w:rPr>
                <w:bCs/>
                <w:b/>
              </w:rPr>
              <w:t xml:space="preserve">Catégorie de personnes concernées</w:t>
            </w:r>
          </w:p>
        </w:tc>
        <w:tc>
          <w:tcPr/>
          <w:p>
            <w:pPr>
              <w:pStyle w:val="Compact"/>
              <w:jc w:val="left"/>
            </w:pPr>
            <w:r>
              <w:rPr>
                <w:bCs/>
                <w:b/>
              </w:rPr>
              <w:t xml:space="preserve">Description</w:t>
            </w:r>
          </w:p>
        </w:tc>
      </w:tr>
      <w:tr>
        <w:tc>
          <w:tcPr/>
          <w:p>
            <w:pPr>
              <w:pStyle w:val="Compact"/>
              <w:jc w:val="left"/>
            </w:pPr>
            <w:r>
              <w:t xml:space="preserve">Clients et fournisseurs des entreprises suivies par le cabinet</w:t>
            </w:r>
          </w:p>
        </w:tc>
        <w:tc>
          <w:tcPr/>
          <w:p>
            <w:pPr>
              <w:pStyle w:val="Compact"/>
              <w:jc w:val="left"/>
            </w:pPr>
            <w:r>
              <w:t xml:space="preserve">Personnes physiques identifiées ou identifiables (ex : dirigeants, salariés, fournisseurs) dont les données comptables (factures, écritures) sont consultées via l’application</w:t>
            </w:r>
            <w:r>
              <w:t xml:space="preserve"> </w:t>
            </w:r>
            <w:r>
              <w:rPr>
                <w:bCs/>
                <w:b/>
              </w:rPr>
              <w:t xml:space="preserve">PennyPilot</w:t>
            </w:r>
            <w:r>
              <w:t xml:space="preserve">.</w:t>
            </w:r>
          </w:p>
        </w:tc>
      </w:tr>
      <w:tr>
        <w:tc>
          <w:tcPr/>
          <w:p>
            <w:pPr>
              <w:pStyle w:val="Compact"/>
              <w:jc w:val="left"/>
            </w:pPr>
            <w:r>
              <w:t xml:space="preserve">Collaborateurs du cabinet</w:t>
            </w:r>
          </w:p>
        </w:tc>
        <w:tc>
          <w:tcPr/>
          <w:p>
            <w:pPr>
              <w:pStyle w:val="Compact"/>
              <w:jc w:val="left"/>
            </w:pPr>
            <w:r>
              <w:t xml:space="preserve">Personnes physiques employées ou mandatées par le cabinet (ex : experts-comptables, assistants) identifiées par leur email, nom et rôle, pour accéder aux données comptables en lecture seule.</w:t>
            </w:r>
          </w:p>
        </w:tc>
      </w:tr>
    </w:tbl>
    <w:bookmarkEnd w:id="41"/>
    <w:bookmarkStart w:id="42" w:name="Xfa5ae2ea46cc1aac9711fe660842aff341782f2"/>
    <w:p>
      <w:pPr>
        <w:pStyle w:val="Heading2"/>
      </w:pPr>
      <w:r>
        <w:t xml:space="preserve">4. Catégories de données à caractère personnel traitées</w:t>
      </w:r>
    </w:p>
    <w:p>
      <w:pPr>
        <w:pStyle w:val="FirstParagraph"/>
      </w:pPr>
      <w:r>
        <w:t xml:space="preserve">Les catégories de données à caractère personnel traitées par</w:t>
      </w:r>
      <w:r>
        <w:t xml:space="preserve"> </w:t>
      </w:r>
      <w:r>
        <w:rPr>
          <w:bCs/>
          <w:b/>
        </w:rPr>
        <w:t xml:space="preserve">HOLCO</w:t>
      </w:r>
      <w:r>
        <w:t xml:space="preserve"> </w:t>
      </w:r>
      <w:r>
        <w:t xml:space="preserve">sont les suivantes :</w:t>
      </w:r>
    </w:p>
    <w:tbl>
      <w:tblPr>
        <w:tblStyle w:val="Table"/>
        <w:tblW w:type="pct" w:w="5000"/>
        <w:tblLook w:firstRow="1" w:lastRow="0" w:firstColumn="0" w:lastColumn="0" w:noHBand="0" w:noVBand="0" w:val="0020"/>
        <w:jc w:val="start"/>
      </w:tblPr>
      <w:tblGrid>
        <w:gridCol w:w="757"/>
        <w:gridCol w:w="3598"/>
        <w:gridCol w:w="3564"/>
      </w:tblGrid>
      <w:tr>
        <w:trPr>
          <w:tblHeader w:val="true"/>
        </w:trPr>
        <w:tc>
          <w:tcPr/>
          <w:p>
            <w:pPr>
              <w:pStyle w:val="Compact"/>
              <w:jc w:val="left"/>
            </w:pPr>
            <w:r>
              <w:rPr>
                <w:bCs/>
                <w:b/>
              </w:rPr>
              <w:t xml:space="preserve">Catégorie de données</w:t>
            </w:r>
          </w:p>
        </w:tc>
        <w:tc>
          <w:tcPr/>
          <w:p>
            <w:pPr>
              <w:pStyle w:val="Compact"/>
              <w:jc w:val="left"/>
            </w:pPr>
            <w:r>
              <w:rPr>
                <w:bCs/>
                <w:b/>
              </w:rPr>
              <w:t xml:space="preserve">Exemples</w:t>
            </w:r>
          </w:p>
        </w:tc>
        <w:tc>
          <w:tcPr/>
          <w:p>
            <w:pPr>
              <w:pStyle w:val="Compact"/>
              <w:jc w:val="left"/>
            </w:pPr>
            <w:r>
              <w:rPr>
                <w:bCs/>
                <w:b/>
              </w:rPr>
              <w:t xml:space="preserve">Remarques</w:t>
            </w:r>
          </w:p>
        </w:tc>
      </w:tr>
      <w:tr>
        <w:tc>
          <w:tcPr/>
          <w:p>
            <w:pPr>
              <w:pStyle w:val="Compact"/>
              <w:jc w:val="left"/>
            </w:pPr>
            <w:r>
              <w:t xml:space="preserve">Données comptables</w:t>
            </w:r>
          </w:p>
        </w:tc>
        <w:tc>
          <w:tcPr/>
          <w:p>
            <w:pPr>
              <w:pStyle w:val="Compact"/>
              <w:jc w:val="left"/>
            </w:pPr>
            <w:r>
              <w:t xml:space="preserve">Balances, grand-livre, journaux, écritures comptables, factures (émises/reçues), relevés bancaires.</w:t>
            </w:r>
          </w:p>
        </w:tc>
        <w:tc>
          <w:tcPr/>
          <w:p>
            <w:pPr>
              <w:pStyle w:val="Compact"/>
              <w:jc w:val="left"/>
            </w:pPr>
            <w:r>
              <w:t xml:space="preserve">Aucune donnée comptable n’est stockée par</w:t>
            </w:r>
            <w:r>
              <w:t xml:space="preserve"> </w:t>
            </w:r>
            <w:r>
              <w:rPr>
                <w:bCs/>
                <w:b/>
              </w:rPr>
              <w:t xml:space="preserve">HOLCO</w:t>
            </w:r>
            <w:r>
              <w:t xml:space="preserve"> </w:t>
            </w:r>
            <w:r>
              <w:t xml:space="preserve">au-delà du transit entre</w:t>
            </w:r>
            <w:r>
              <w:t xml:space="preserve"> </w:t>
            </w:r>
            <w:r>
              <w:rPr>
                <w:bCs/>
                <w:b/>
              </w:rPr>
              <w:t xml:space="preserve">PennyPilot</w:t>
            </w:r>
            <w:r>
              <w:t xml:space="preserve"> </w:t>
            </w:r>
            <w:r>
              <w:t xml:space="preserve">et l’API</w:t>
            </w:r>
            <w:r>
              <w:t xml:space="preserve"> </w:t>
            </w:r>
            <w:r>
              <w:rPr>
                <w:bCs/>
                <w:b/>
              </w:rPr>
              <w:t xml:space="preserve">Pennylane</w:t>
            </w:r>
            <w:r>
              <w:t xml:space="preserve">.</w:t>
            </w:r>
          </w:p>
        </w:tc>
      </w:tr>
      <w:tr>
        <w:tc>
          <w:tcPr/>
          <w:p>
            <w:pPr>
              <w:pStyle w:val="Compact"/>
              <w:jc w:val="left"/>
            </w:pPr>
            <w:r>
              <w:t xml:space="preserve">Données d’identification des collaborateurs</w:t>
            </w:r>
          </w:p>
        </w:tc>
        <w:tc>
          <w:tcPr/>
          <w:p>
            <w:pPr>
              <w:pStyle w:val="Compact"/>
              <w:jc w:val="left"/>
            </w:pPr>
            <w:r>
              <w:t xml:space="preserve">Email professionnel, nom, prénom, rôle (ex : expert-comptable, assistant).</w:t>
            </w:r>
          </w:p>
        </w:tc>
        <w:tc>
          <w:tcPr/>
          <w:p>
            <w:pPr>
              <w:pStyle w:val="Compact"/>
              <w:jc w:val="left"/>
            </w:pPr>
            <w:r>
              <w:t xml:space="preserve">Ces données sont utilisées pour l’authentification et le contrôle d’accès.</w:t>
            </w:r>
          </w:p>
        </w:tc>
      </w:tr>
      <w:tr>
        <w:tc>
          <w:tcPr/>
          <w:p>
            <w:pPr>
              <w:pStyle w:val="Compact"/>
              <w:jc w:val="left"/>
            </w:pPr>
            <w:r>
              <w:t xml:space="preserve">Métadonnées techniques (usage_logs)</w:t>
            </w:r>
          </w:p>
        </w:tc>
        <w:tc>
          <w:tcPr/>
          <w:p>
            <w:pPr>
              <w:pStyle w:val="Compact"/>
              <w:jc w:val="left"/>
            </w:pPr>
            <w:r>
              <w:t xml:space="preserve">Route consultée, outil utilisé, statut HTTP de la requête, latence, horodatage, identifiant utilisateur.</w:t>
            </w:r>
          </w:p>
        </w:tc>
        <w:tc>
          <w:tcPr/>
          <w:p>
            <w:pPr>
              <w:pStyle w:val="Compact"/>
              <w:jc w:val="left"/>
            </w:pPr>
            <w:r>
              <w:rPr>
                <w:bCs/>
                <w:b/>
              </w:rPr>
              <w:t xml:space="preserve">Exclusion</w:t>
            </w:r>
            <w:r>
              <w:t xml:space="preserve"> </w:t>
            </w:r>
            <w:r>
              <w:t xml:space="preserve">: Aucun contenu de prompt, donnée comptable ou donnée personnelle n’est journalisé dans les</w:t>
            </w:r>
            <w:r>
              <w:t xml:space="preserve"> </w:t>
            </w:r>
            <w:r>
              <w:rPr>
                <w:bCs/>
                <w:b/>
              </w:rPr>
              <w:t xml:space="preserve">usage_logs</w:t>
            </w:r>
            <w:r>
              <w:t xml:space="preserve">.</w:t>
            </w:r>
          </w:p>
        </w:tc>
      </w:tr>
    </w:tbl>
    <w:p>
      <w:pPr>
        <w:pStyle w:val="BodyText"/>
      </w:pPr>
      <w:r>
        <w:rPr>
          <w:bCs/>
          <w:b/>
        </w:rPr>
        <w:t xml:space="preserve">Exclusion des catégories particulières</w:t>
      </w:r>
      <w:r>
        <w:t xml:space="preserve"> </w:t>
      </w:r>
      <w:r>
        <w:t xml:space="preserve">(art. 9 RGPD) :</w:t>
      </w:r>
      <w:r>
        <w:t xml:space="preserve"> </w:t>
      </w:r>
      <w:r>
        <w:t xml:space="preserve">Aucune donnée relevant des catégories particulières de l’article 9 du RGPD (ex : données de santé, opinions politiques, origine ethnique) n’est traitée par</w:t>
      </w:r>
      <w:r>
        <w:t xml:space="preserve"> </w:t>
      </w:r>
      <w:r>
        <w:rPr>
          <w:bCs/>
          <w:b/>
        </w:rPr>
        <w:t xml:space="preserve">HOLCO</w:t>
      </w:r>
      <w:r>
        <w:t xml:space="preserve">, sauf instruction écrite expresse et préalable du</w:t>
      </w:r>
      <w:r>
        <w:t xml:space="preserve"> </w:t>
      </w:r>
      <w:r>
        <w:rPr>
          <w:bCs/>
          <w:b/>
        </w:rPr>
        <w:t xml:space="preserve">Cabinet [NOM_DU_CABINET]</w:t>
      </w:r>
      <w:r>
        <w:t xml:space="preserve">, assortie des garanties appropriées.</w:t>
      </w:r>
    </w:p>
    <w:bookmarkEnd w:id="42"/>
    <w:bookmarkStart w:id="43" w:name="durées-de-conservation"/>
    <w:p>
      <w:pPr>
        <w:pStyle w:val="Heading2"/>
      </w:pPr>
      <w:r>
        <w:t xml:space="preserve">5. Durées de conservation</w:t>
      </w:r>
    </w:p>
    <w:p>
      <w:pPr>
        <w:pStyle w:val="FirstParagraph"/>
      </w:pPr>
      <w:r>
        <w:t xml:space="preserve">Les durées de conservation des données à caractère personnel sont définies comme suit :</w:t>
      </w:r>
    </w:p>
    <w:tbl>
      <w:tblPr>
        <w:tblStyle w:val="Table"/>
        <w:tblW w:type="pct" w:w="5000"/>
        <w:tblLook w:firstRow="1" w:lastRow="0" w:firstColumn="0" w:lastColumn="0" w:noHBand="0" w:noVBand="0" w:val="0020"/>
        <w:jc w:val="start"/>
      </w:tblPr>
      <w:tblGrid>
        <w:gridCol w:w="614"/>
        <w:gridCol w:w="3670"/>
        <w:gridCol w:w="3635"/>
      </w:tblGrid>
      <w:tr>
        <w:trPr>
          <w:tblHeader w:val="true"/>
        </w:trPr>
        <w:tc>
          <w:tcPr/>
          <w:p>
            <w:pPr>
              <w:pStyle w:val="Compact"/>
              <w:jc w:val="left"/>
            </w:pPr>
            <w:r>
              <w:rPr>
                <w:bCs/>
                <w:b/>
              </w:rPr>
              <w:t xml:space="preserve">Type de données</w:t>
            </w:r>
          </w:p>
        </w:tc>
        <w:tc>
          <w:tcPr/>
          <w:p>
            <w:pPr>
              <w:pStyle w:val="Compact"/>
              <w:jc w:val="left"/>
            </w:pPr>
            <w:r>
              <w:rPr>
                <w:bCs/>
                <w:b/>
              </w:rPr>
              <w:t xml:space="preserve">Durée de conservation</w:t>
            </w:r>
          </w:p>
        </w:tc>
        <w:tc>
          <w:tcPr/>
          <w:p>
            <w:pPr>
              <w:pStyle w:val="Compact"/>
              <w:jc w:val="left"/>
            </w:pPr>
            <w:r>
              <w:rPr>
                <w:bCs/>
                <w:b/>
              </w:rPr>
              <w:t xml:space="preserve">Base légale</w:t>
            </w:r>
          </w:p>
        </w:tc>
      </w:tr>
      <w:tr>
        <w:tc>
          <w:tcPr/>
          <w:p>
            <w:pPr>
              <w:pStyle w:val="Compact"/>
              <w:jc w:val="left"/>
            </w:pPr>
            <w:r>
              <w:t xml:space="preserve">Données comptables</w:t>
            </w:r>
          </w:p>
        </w:tc>
        <w:tc>
          <w:tcPr/>
          <w:p>
            <w:pPr>
              <w:pStyle w:val="Compact"/>
              <w:jc w:val="left"/>
            </w:pPr>
            <w:r>
              <w:rPr>
                <w:bCs/>
                <w:b/>
              </w:rPr>
              <w:t xml:space="preserve">Non conservées</w:t>
            </w:r>
            <w:r>
              <w:t xml:space="preserve"> </w:t>
            </w:r>
            <w:r>
              <w:t xml:space="preserve">par</w:t>
            </w:r>
            <w:r>
              <w:t xml:space="preserve"> </w:t>
            </w:r>
            <w:r>
              <w:rPr>
                <w:bCs/>
                <w:b/>
              </w:rPr>
              <w:t xml:space="preserve">HOLCO</w:t>
            </w:r>
            <w:r>
              <w:t xml:space="preserve"> </w:t>
            </w:r>
            <w:r>
              <w:t xml:space="preserve">(transit uniquement entre</w:t>
            </w:r>
            <w:r>
              <w:t xml:space="preserve"> </w:t>
            </w:r>
            <w:r>
              <w:rPr>
                <w:bCs/>
                <w:b/>
              </w:rPr>
              <w:t xml:space="preserve">PennyPilot</w:t>
            </w:r>
            <w:r>
              <w:t xml:space="preserve"> </w:t>
            </w:r>
            <w:r>
              <w:t xml:space="preserve">et l’API</w:t>
            </w:r>
            <w:r>
              <w:t xml:space="preserve"> </w:t>
            </w:r>
            <w:r>
              <w:rPr>
                <w:bCs/>
                <w:b/>
              </w:rPr>
              <w:t xml:space="preserve">Pennylane</w:t>
            </w:r>
            <w:r>
              <w:t xml:space="preserve">). Les données sources restent sous la responsabilité du</w:t>
            </w:r>
            <w:r>
              <w:t xml:space="preserve"> </w:t>
            </w:r>
            <w:r>
              <w:rPr>
                <w:bCs/>
                <w:b/>
              </w:rPr>
              <w:t xml:space="preserve">Cabinet [NOM_DU_CABINET]</w:t>
            </w:r>
            <w:r>
              <w:t xml:space="preserve"> </w:t>
            </w:r>
            <w:r>
              <w:t xml:space="preserve">et de</w:t>
            </w:r>
            <w:r>
              <w:t xml:space="preserve"> </w:t>
            </w:r>
            <w:r>
              <w:rPr>
                <w:bCs/>
                <w:b/>
              </w:rPr>
              <w:t xml:space="preserve">Pennylane</w:t>
            </w:r>
            <w:r>
              <w:t xml:space="preserve">.</w:t>
            </w:r>
          </w:p>
        </w:tc>
        <w:tc>
          <w:tcPr/>
          <w:p>
            <w:pPr>
              <w:pStyle w:val="Compact"/>
              <w:jc w:val="left"/>
            </w:pPr>
            <w:r>
              <w:t xml:space="preserve">Art. 5.1.c (minimisation) et art. 28.3.g (obligations du sous-traitant) du RGPD.</w:t>
            </w:r>
          </w:p>
        </w:tc>
      </w:tr>
      <w:tr>
        <w:tc>
          <w:tcPr/>
          <w:p>
            <w:pPr>
              <w:pStyle w:val="Compact"/>
              <w:jc w:val="left"/>
            </w:pPr>
            <w:r>
              <w:t xml:space="preserve">Métadonnées techniques (usage_logs)</w:t>
            </w:r>
          </w:p>
        </w:tc>
        <w:tc>
          <w:tcPr/>
          <w:p>
            <w:pPr>
              <w:pStyle w:val="Compact"/>
              <w:jc w:val="left"/>
            </w:pPr>
            <w:r>
              <w:rPr>
                <w:bCs/>
                <w:b/>
              </w:rPr>
              <w:t xml:space="preserve">13 mois glissants</w:t>
            </w:r>
            <w:r>
              <w:t xml:space="preserve"> </w:t>
            </w:r>
            <w:r>
              <w:t xml:space="preserve">à compter de leur enregistrement, puis suppression automatique.</w:t>
            </w:r>
          </w:p>
        </w:tc>
        <w:tc>
          <w:tcPr/>
          <w:p>
            <w:pPr>
              <w:pStyle w:val="Compact"/>
              <w:jc w:val="left"/>
            </w:pPr>
            <w:r>
              <w:t xml:space="preserve">Intérêt légitime (art. 6.1.f RGPD) pour la traçabilité et le débogage, limité à la durée strictement nécessaire.</w:t>
            </w:r>
          </w:p>
        </w:tc>
      </w:tr>
      <w:tr>
        <w:tc>
          <w:tcPr/>
          <w:p>
            <w:pPr>
              <w:pStyle w:val="Compact"/>
              <w:jc w:val="left"/>
            </w:pPr>
            <w:r>
              <w:t xml:space="preserve">Secrets d’authentification (tokens, clés)</w:t>
            </w:r>
          </w:p>
        </w:tc>
        <w:tc>
          <w:tcPr/>
          <w:p>
            <w:pPr>
              <w:pStyle w:val="Compact"/>
              <w:jc w:val="left"/>
            </w:pPr>
            <w:r>
              <w:rPr>
                <w:bCs/>
                <w:b/>
              </w:rPr>
              <w:t xml:space="preserve">Révocables à la demande</w:t>
            </w:r>
            <w:r>
              <w:t xml:space="preserve"> </w:t>
            </w:r>
            <w:r>
              <w:t xml:space="preserve">du</w:t>
            </w:r>
            <w:r>
              <w:t xml:space="preserve"> </w:t>
            </w:r>
            <w:r>
              <w:rPr>
                <w:bCs/>
                <w:b/>
              </w:rPr>
              <w:t xml:space="preserve">Cabinet [NOM_DU_CABINET]</w:t>
            </w:r>
            <w:r>
              <w:t xml:space="preserve"> </w:t>
            </w:r>
            <w:r>
              <w:t xml:space="preserve">ou en cas de suspicion de compromission. Suppression immédiate en cas de résiliation du contrat.</w:t>
            </w:r>
          </w:p>
        </w:tc>
        <w:tc>
          <w:tcPr/>
          <w:p>
            <w:pPr>
              <w:pStyle w:val="Compact"/>
              <w:jc w:val="left"/>
            </w:pPr>
            <w:r>
              <w:t xml:space="preserve">Art. 32.1.b (sécurité du traitement) et art. 28.3.g (obligations du sous-traitant) du RGPD.</w:t>
            </w:r>
          </w:p>
        </w:tc>
      </w:tr>
      <w:tr>
        <w:tc>
          <w:tcPr/>
          <w:p>
            <w:pPr>
              <w:pStyle w:val="Compact"/>
              <w:jc w:val="left"/>
            </w:pPr>
            <w:r>
              <w:t xml:space="preserve">Données des comptes utilisateurs</w:t>
            </w:r>
          </w:p>
        </w:tc>
        <w:tc>
          <w:tcPr/>
          <w:p>
            <w:pPr>
              <w:pStyle w:val="Compact"/>
              <w:jc w:val="left"/>
            </w:pPr>
            <w:r>
              <w:rPr>
                <w:bCs/>
                <w:b/>
              </w:rPr>
              <w:t xml:space="preserve">3 ans</w:t>
            </w:r>
            <w:r>
              <w:t xml:space="preserve"> </w:t>
            </w:r>
            <w:r>
              <w:t xml:space="preserve">à compter de la résiliation du contrat entre</w:t>
            </w:r>
            <w:r>
              <w:t xml:space="preserve"> </w:t>
            </w:r>
            <w:r>
              <w:rPr>
                <w:bCs/>
                <w:b/>
              </w:rPr>
              <w:t xml:space="preserve">HOLCO</w:t>
            </w:r>
            <w:r>
              <w:t xml:space="preserve"> </w:t>
            </w:r>
            <w:r>
              <w:t xml:space="preserve">et le</w:t>
            </w:r>
            <w:r>
              <w:t xml:space="preserve"> </w:t>
            </w:r>
            <w:r>
              <w:rPr>
                <w:bCs/>
                <w:b/>
              </w:rPr>
              <w:t xml:space="preserve">Cabinet [NOM_DU_CABINET]</w:t>
            </w:r>
            <w:r>
              <w:t xml:space="preserve">, puis suppression définitive.</w:t>
            </w:r>
          </w:p>
        </w:tc>
        <w:tc>
          <w:tcPr/>
          <w:p>
            <w:pPr>
              <w:pStyle w:val="Compact"/>
              <w:jc w:val="left"/>
            </w:pPr>
            <w:r>
              <w:t xml:space="preserve">Art. 5.1.e (limitation de la conservation) et art. 28.3.g du RGPD.</w:t>
            </w:r>
          </w:p>
        </w:tc>
      </w:tr>
      <w:tr>
        <w:tc>
          <w:tcPr/>
          <w:p>
            <w:pPr>
              <w:pStyle w:val="Compact"/>
              <w:jc w:val="left"/>
            </w:pPr>
            <w:r>
              <w:t xml:space="preserve">Sauvegardes</w:t>
            </w:r>
          </w:p>
        </w:tc>
        <w:tc>
          <w:tcPr/>
          <w:p>
            <w:pPr>
              <w:pStyle w:val="Compact"/>
              <w:jc w:val="left"/>
            </w:pPr>
            <w:r>
              <w:rPr>
                <w:bCs/>
                <w:b/>
              </w:rPr>
              <w:t xml:space="preserve">Rotation sur 30 jours</w:t>
            </w:r>
            <w:r>
              <w:t xml:space="preserve"> </w:t>
            </w:r>
            <w:r>
              <w:t xml:space="preserve">: les sauvegardes sont écrasées après 30 jours, sans possibilité de restauration au-delà de cette période.</w:t>
            </w:r>
          </w:p>
        </w:tc>
        <w:tc>
          <w:tcPr/>
          <w:p>
            <w:pPr>
              <w:pStyle w:val="Compact"/>
              <w:jc w:val="left"/>
            </w:pPr>
            <w:r>
              <w:t xml:space="preserve">Art. 32.1.c (résilience) et art. 5.1.c (minimisation) du RGPD.</w:t>
            </w:r>
          </w:p>
        </w:tc>
      </w:tr>
    </w:tbl>
    <w:p>
      <w:r>
        <w:pict>
          <ns1:rect style="width:0;height:1.5pt" ns2:hralign="center" ns2:hrstd="t" ns2:hr="t"/>
        </w:pict>
      </w:r>
    </w:p>
    <w:bookmarkEnd w:id="43"/>
    <w:bookmarkEnd w:id="44"/>
    <w:bookmarkStart w:id="51" w:name="Xb85be3dc58592157f01cab2e3eab6e1b0fb0c2a"/>
    <w:p>
      <w:pPr>
        <w:pStyle w:val="Heading1"/>
      </w:pPr>
      <w:r>
        <w:t xml:space="preserve">ANNEXE 2 — MESURES TECHNIQUES ET ORGANISATIONNELLES DE SÉCURITÉ</w:t>
      </w:r>
    </w:p>
    <w:p>
      <w:pPr>
        <w:pStyle w:val="FirstParagraph"/>
      </w:pPr>
      <w:r>
        <w:rPr>
          <w:iCs/>
          <w:i/>
        </w:rPr>
        <w:t xml:space="preserve">(Conformément à l’article 32 du Règlement (UE) 2016/679 du Parlement européen et du Conseil du 27 avril 2016 (RGPD))</w:t>
      </w:r>
    </w:p>
    <w:bookmarkStart w:id="45" w:name="chiffrement-des-données"/>
    <w:p>
      <w:pPr>
        <w:pStyle w:val="Heading2"/>
      </w:pPr>
      <w:r>
        <w:t xml:space="preserve">1. Chiffrement des données</w:t>
      </w:r>
    </w:p>
    <w:p>
      <w:pPr>
        <w:pStyle w:val="FirstParagraph"/>
      </w:pPr>
      <w:r>
        <w:rPr>
          <w:bCs/>
          <w:b/>
        </w:rPr>
        <w:t xml:space="preserve">HOLCO</w:t>
      </w:r>
      <w:r>
        <w:t xml:space="preserve"> </w:t>
      </w:r>
      <w:r>
        <w:t xml:space="preserve">met en œuvre les mesures de chiffrement suivantes pour garantir la confidentialité et l’intégrité des données à caractère personnel :</w:t>
      </w:r>
    </w:p>
    <w:tbl>
      <w:tblPr>
        <w:tblStyle w:val="Table"/>
        <w:tblW w:type="pct" w:w="5000"/>
        <w:tblLook w:firstRow="1" w:lastRow="0" w:firstColumn="0" w:lastColumn="0" w:noHBand="0" w:noVBand="0" w:val="0020"/>
        <w:jc w:val="start"/>
      </w:tblPr>
      <w:tblGrid>
        <w:gridCol w:w="2091"/>
        <w:gridCol w:w="5828"/>
      </w:tblGrid>
      <w:tr>
        <w:trPr>
          <w:tblHeader w:val="true"/>
        </w:trPr>
        <w:tc>
          <w:tcPr/>
          <w:p>
            <w:pPr>
              <w:pStyle w:val="Compact"/>
              <w:jc w:val="left"/>
            </w:pPr>
            <w:r>
              <w:rPr>
                <w:bCs/>
                <w:b/>
              </w:rPr>
              <w:t xml:space="preserve">Mesure</w:t>
            </w:r>
          </w:p>
        </w:tc>
        <w:tc>
          <w:tcPr/>
          <w:p>
            <w:pPr>
              <w:pStyle w:val="Compact"/>
              <w:jc w:val="left"/>
            </w:pPr>
            <w:r>
              <w:rPr>
                <w:bCs/>
                <w:b/>
              </w:rPr>
              <w:t xml:space="preserve">Description</w:t>
            </w:r>
          </w:p>
        </w:tc>
      </w:tr>
      <w:tr>
        <w:tc>
          <w:tcPr/>
          <w:p>
            <w:pPr>
              <w:pStyle w:val="Compact"/>
              <w:jc w:val="left"/>
            </w:pPr>
            <w:r>
              <w:rPr>
                <w:bCs/>
                <w:b/>
              </w:rPr>
              <w:t xml:space="preserve">Chiffrement en transit</w:t>
            </w:r>
          </w:p>
        </w:tc>
        <w:tc>
          <w:tcPr/>
          <w:p>
            <w:pPr>
              <w:pStyle w:val="Compact"/>
              <w:jc w:val="left"/>
            </w:pPr>
            <w:r>
              <w:t xml:space="preserve">Toutes les communications entre</w:t>
            </w:r>
            <w:r>
              <w:t xml:space="preserve"> </w:t>
            </w:r>
            <w:r>
              <w:rPr>
                <w:bCs/>
                <w:b/>
              </w:rPr>
              <w:t xml:space="preserve">PennyPilot</w:t>
            </w:r>
            <w:r>
              <w:t xml:space="preserve">,</w:t>
            </w:r>
            <w:r>
              <w:t xml:space="preserve"> </w:t>
            </w:r>
            <w:r>
              <w:rPr>
                <w:bCs/>
                <w:b/>
              </w:rPr>
              <w:t xml:space="preserve">HOLCO</w:t>
            </w:r>
            <w:r>
              <w:t xml:space="preserve"> </w:t>
            </w:r>
            <w:r>
              <w:t xml:space="preserve">et l’API</w:t>
            </w:r>
            <w:r>
              <w:t xml:space="preserve"> </w:t>
            </w:r>
            <w:r>
              <w:rPr>
                <w:bCs/>
                <w:b/>
              </w:rPr>
              <w:t xml:space="preserve">Pennylane</w:t>
            </w:r>
            <w:r>
              <w:t xml:space="preserve"> </w:t>
            </w:r>
            <w:r>
              <w:t xml:space="preserve">sont chiffrées via le protocole</w:t>
            </w:r>
            <w:r>
              <w:t xml:space="preserve"> </w:t>
            </w:r>
            <w:r>
              <w:rPr>
                <w:bCs/>
                <w:b/>
              </w:rPr>
              <w:t xml:space="preserve">TLS 1.3</w:t>
            </w:r>
            <w:r>
              <w:t xml:space="preserve"> </w:t>
            </w:r>
            <w:r>
              <w:t xml:space="preserve">(ou version supérieure), avec des suites cryptographiques modernes (ex : AES-256-GCM, ChaCha20-Poly1305).</w:t>
            </w:r>
          </w:p>
        </w:tc>
      </w:tr>
      <w:tr>
        <w:tc>
          <w:tcPr/>
          <w:p>
            <w:pPr>
              <w:pStyle w:val="Compact"/>
              <w:jc w:val="left"/>
            </w:pPr>
            <w:r>
              <w:rPr>
                <w:bCs/>
                <w:b/>
              </w:rPr>
              <w:t xml:space="preserve">Chiffrement des tokens Pennylane au repos</w:t>
            </w:r>
          </w:p>
        </w:tc>
        <w:tc>
          <w:tcPr/>
          <w:p>
            <w:pPr>
              <w:pStyle w:val="Compact"/>
              <w:jc w:val="left"/>
            </w:pPr>
            <w:r>
              <w:t xml:space="preserve">Les tokens d’accès à l’API</w:t>
            </w:r>
            <w:r>
              <w:t xml:space="preserve"> </w:t>
            </w:r>
            <w:r>
              <w:rPr>
                <w:bCs/>
                <w:b/>
              </w:rPr>
              <w:t xml:space="preserve">Pennylane</w:t>
            </w:r>
            <w:r>
              <w:t xml:space="preserve"> </w:t>
            </w:r>
            <w:r>
              <w:t xml:space="preserve">sont chiffrés au repos avec l’algorithme</w:t>
            </w:r>
            <w:r>
              <w:t xml:space="preserve"> </w:t>
            </w:r>
            <w:r>
              <w:rPr>
                <w:bCs/>
                <w:b/>
              </w:rPr>
              <w:t xml:space="preserve">AES-256-GCM</w:t>
            </w:r>
            <w:r>
              <w:t xml:space="preserve">, utilisant un vecteur d’initialisation (IV) aléatoire de</w:t>
            </w:r>
            <w:r>
              <w:t xml:space="preserve"> </w:t>
            </w:r>
            <w:r>
              <w:rPr>
                <w:bCs/>
                <w:b/>
              </w:rPr>
              <w:t xml:space="preserve">12 octets</w:t>
            </w:r>
            <w:r>
              <w:t xml:space="preserve">. La clé de chiffrement est gérée séparément des données chiffrées et n’est jamais exposée aux modèles de langage.</w:t>
            </w:r>
          </w:p>
        </w:tc>
      </w:tr>
      <w:tr>
        <w:tc>
          <w:tcPr/>
          <w:p>
            <w:pPr>
              <w:pStyle w:val="Compact"/>
              <w:jc w:val="left"/>
            </w:pPr>
            <w:r>
              <w:rPr>
                <w:bCs/>
                <w:b/>
              </w:rPr>
              <w:t xml:space="preserve">Hachage irréversible des secrets</w:t>
            </w:r>
          </w:p>
        </w:tc>
        <w:tc>
          <w:tcPr/>
          <w:p>
            <w:pPr>
              <w:pStyle w:val="Compact"/>
              <w:jc w:val="left"/>
            </w:pPr>
            <w:r>
              <w:t xml:space="preserve">Les clés</w:t>
            </w:r>
            <w:r>
              <w:t xml:space="preserve"> </w:t>
            </w:r>
            <w:r>
              <w:rPr>
                <w:bCs/>
                <w:b/>
              </w:rPr>
              <w:t xml:space="preserve">PennyPilot</w:t>
            </w:r>
            <w:r>
              <w:t xml:space="preserve"> </w:t>
            </w:r>
            <w:r>
              <w:t xml:space="preserve">et les tokens OAuth sont hachés avec l’algorithme</w:t>
            </w:r>
            <w:r>
              <w:t xml:space="preserve"> </w:t>
            </w:r>
            <w:r>
              <w:rPr>
                <w:bCs/>
                <w:b/>
              </w:rPr>
              <w:t xml:space="preserve">SHA-256</w:t>
            </w:r>
            <w:r>
              <w:t xml:space="preserve"> </w:t>
            </w:r>
            <w:r>
              <w:t xml:space="preserve">avant stockage, de manière irréversible. Aucun secret n’est stocké en clair.</w:t>
            </w:r>
          </w:p>
        </w:tc>
      </w:tr>
    </w:tbl>
    <w:bookmarkEnd w:id="45"/>
    <w:bookmarkStart w:id="46" w:name="architecture-en-lecture-seule"/>
    <w:p>
      <w:pPr>
        <w:pStyle w:val="Heading2"/>
      </w:pPr>
      <w:r>
        <w:t xml:space="preserve">2. Architecture en lecture seule</w:t>
      </w:r>
    </w:p>
    <w:p>
      <w:pPr>
        <w:pStyle w:val="FirstParagraph"/>
      </w:pPr>
      <w:r>
        <w:rPr>
          <w:bCs/>
          <w:b/>
        </w:rPr>
        <w:t xml:space="preserve">HOLCO</w:t>
      </w:r>
      <w:r>
        <w:t xml:space="preserve"> </w:t>
      </w:r>
      <w:r>
        <w:t xml:space="preserve">garantit que l’accès aux données comptables est strictement limité à des opérations de consultation, via les mesures suivantes :</w:t>
      </w:r>
    </w:p>
    <w:tbl>
      <w:tblPr>
        <w:tblStyle w:val="Table"/>
        <w:tblW w:type="pct" w:w="5000"/>
        <w:tblLook w:firstRow="1" w:lastRow="0" w:firstColumn="0" w:lastColumn="0" w:noHBand="0" w:noVBand="0" w:val="0020"/>
        <w:jc w:val="start"/>
      </w:tblPr>
      <w:tblGrid>
        <w:gridCol w:w="2091"/>
        <w:gridCol w:w="5828"/>
      </w:tblGrid>
      <w:tr>
        <w:trPr>
          <w:tblHeader w:val="true"/>
        </w:trPr>
        <w:tc>
          <w:tcPr/>
          <w:p>
            <w:pPr>
              <w:pStyle w:val="Compact"/>
              <w:jc w:val="left"/>
            </w:pPr>
            <w:r>
              <w:rPr>
                <w:bCs/>
                <w:b/>
              </w:rPr>
              <w:t xml:space="preserve">Mesure</w:t>
            </w:r>
          </w:p>
        </w:tc>
        <w:tc>
          <w:tcPr/>
          <w:p>
            <w:pPr>
              <w:pStyle w:val="Compact"/>
              <w:jc w:val="left"/>
            </w:pPr>
            <w:r>
              <w:rPr>
                <w:bCs/>
                <w:b/>
              </w:rPr>
              <w:t xml:space="preserve">Description</w:t>
            </w:r>
          </w:p>
        </w:tc>
      </w:tr>
      <w:tr>
        <w:tc>
          <w:tcPr/>
          <w:p>
            <w:pPr>
              <w:pStyle w:val="Compact"/>
              <w:jc w:val="left"/>
            </w:pPr>
            <w:r>
              <w:rPr>
                <w:bCs/>
                <w:b/>
              </w:rPr>
              <w:t xml:space="preserve">Garde applicative READ_ONLY_GUARD</w:t>
            </w:r>
          </w:p>
        </w:tc>
        <w:tc>
          <w:tcPr/>
          <w:p>
            <w:pPr>
              <w:pStyle w:val="Compact"/>
              <w:jc w:val="left"/>
            </w:pPr>
            <w:r>
              <w:t xml:space="preserve">Une couche de sécurité applicative interdit toute requête autre que</w:t>
            </w:r>
            <w:r>
              <w:t xml:space="preserve"> </w:t>
            </w:r>
            <w:r>
              <w:rPr>
                <w:bCs/>
                <w:b/>
              </w:rPr>
              <w:t xml:space="preserve">GET</w:t>
            </w:r>
            <w:r>
              <w:t xml:space="preserve"> </w:t>
            </w:r>
            <w:r>
              <w:t xml:space="preserve">ou</w:t>
            </w:r>
            <w:r>
              <w:t xml:space="preserve"> </w:t>
            </w:r>
            <w:r>
              <w:rPr>
                <w:bCs/>
                <w:b/>
              </w:rPr>
              <w:t xml:space="preserve">HEAD</w:t>
            </w:r>
            <w:r>
              <w:t xml:space="preserve"> </w:t>
            </w:r>
            <w:r>
              <w:t xml:space="preserve">vers l’API</w:t>
            </w:r>
            <w:r>
              <w:t xml:space="preserve"> </w:t>
            </w:r>
            <w:r>
              <w:rPr>
                <w:bCs/>
                <w:b/>
              </w:rPr>
              <w:t xml:space="preserve">Pennylane</w:t>
            </w:r>
            <w:r>
              <w:t xml:space="preserve">. Toute tentative de requête</w:t>
            </w:r>
            <w:r>
              <w:t xml:space="preserve"> </w:t>
            </w:r>
            <w:r>
              <w:rPr>
                <w:bCs/>
                <w:b/>
              </w:rPr>
              <w:t xml:space="preserve">POST</w:t>
            </w:r>
            <w:r>
              <w:t xml:space="preserve">,</w:t>
            </w:r>
            <w:r>
              <w:t xml:space="preserve"> </w:t>
            </w:r>
            <w:r>
              <w:rPr>
                <w:bCs/>
                <w:b/>
              </w:rPr>
              <w:t xml:space="preserve">PUT</w:t>
            </w:r>
            <w:r>
              <w:t xml:space="preserve">,</w:t>
            </w:r>
            <w:r>
              <w:t xml:space="preserve"> </w:t>
            </w:r>
            <w:r>
              <w:rPr>
                <w:bCs/>
                <w:b/>
              </w:rPr>
              <w:t xml:space="preserve">PATCH</w:t>
            </w:r>
            <w:r>
              <w:t xml:space="preserve"> </w:t>
            </w:r>
            <w:r>
              <w:t xml:space="preserve">ou</w:t>
            </w:r>
            <w:r>
              <w:t xml:space="preserve"> </w:t>
            </w:r>
            <w:r>
              <w:rPr>
                <w:bCs/>
                <w:b/>
              </w:rPr>
              <w:t xml:space="preserve">DELETE</w:t>
            </w:r>
            <w:r>
              <w:t xml:space="preserve"> </w:t>
            </w:r>
            <w:r>
              <w:t xml:space="preserve">est automatiquement bloquée.</w:t>
            </w:r>
          </w:p>
        </w:tc>
      </w:tr>
      <w:tr>
        <w:tc>
          <w:tcPr/>
          <w:p>
            <w:pPr>
              <w:pStyle w:val="Compact"/>
              <w:jc w:val="left"/>
            </w:pPr>
            <w:r>
              <w:rPr>
                <w:bCs/>
                <w:b/>
              </w:rPr>
              <w:t xml:space="preserve">Annotations MCP readOnlyHint</w:t>
            </w:r>
          </w:p>
        </w:tc>
        <w:tc>
          <w:tcPr/>
          <w:p>
            <w:pPr>
              <w:pStyle w:val="Compact"/>
              <w:jc w:val="left"/>
            </w:pPr>
            <w:r>
              <w:t xml:space="preserve">Les appels à l’API</w:t>
            </w:r>
            <w:r>
              <w:t xml:space="preserve"> </w:t>
            </w:r>
            <w:r>
              <w:rPr>
                <w:bCs/>
                <w:b/>
              </w:rPr>
              <w:t xml:space="preserve">Pennylane</w:t>
            </w:r>
            <w:r>
              <w:t xml:space="preserve"> </w:t>
            </w:r>
            <w:r>
              <w:t xml:space="preserve">sont marqués avec l’annotation</w:t>
            </w:r>
            <w:r>
              <w:t xml:space="preserve"> </w:t>
            </w:r>
            <w:r>
              <w:rPr>
                <w:bCs/>
                <w:b/>
              </w:rPr>
              <w:t xml:space="preserve">readOnlyHint</w:t>
            </w:r>
            <w:r>
              <w:t xml:space="preserve"> </w:t>
            </w:r>
            <w:r>
              <w:t xml:space="preserve">pour signaler aux systèmes intermédiaires (ex : proxys, caches) que les données ne doivent pas être modifiées.</w:t>
            </w:r>
          </w:p>
        </w:tc>
      </w:tr>
      <w:tr>
        <w:tc>
          <w:tcPr/>
          <w:p>
            <w:pPr>
              <w:pStyle w:val="Compact"/>
              <w:jc w:val="left"/>
            </w:pPr>
            <w:r>
              <w:rPr>
                <w:bCs/>
                <w:b/>
              </w:rPr>
              <w:t xml:space="preserve">Exclusion des outils d’écriture</w:t>
            </w:r>
          </w:p>
        </w:tc>
        <w:tc>
          <w:tcPr/>
          <w:p>
            <w:pPr>
              <w:pStyle w:val="Compact"/>
              <w:jc w:val="left"/>
            </w:pPr>
            <w:r>
              <w:t xml:space="preserve">Aucun outil ou bibliothèque permettant des opérations d’écriture (ex : clients HTTP avec méthodes mutatives) n’est déployé dans l’infrastructure</w:t>
            </w:r>
            <w:r>
              <w:t xml:space="preserve"> </w:t>
            </w:r>
            <w:r>
              <w:rPr>
                <w:bCs/>
                <w:b/>
              </w:rPr>
              <w:t xml:space="preserve">PennyPilot</w:t>
            </w:r>
            <w:r>
              <w:t xml:space="preserve">.</w:t>
            </w:r>
          </w:p>
        </w:tc>
      </w:tr>
    </w:tbl>
    <w:bookmarkEnd w:id="46"/>
    <w:bookmarkStart w:id="47" w:name="Xf423562f814c9654c94bb9f55d544a0b0be1c20"/>
    <w:p>
      <w:pPr>
        <w:pStyle w:val="Heading2"/>
      </w:pPr>
      <w:r>
        <w:t xml:space="preserve">3. Minimisation des données et journalisation</w:t>
      </w:r>
    </w:p>
    <w:p>
      <w:pPr>
        <w:pStyle w:val="FirstParagraph"/>
      </w:pPr>
      <w:r>
        <w:rPr>
          <w:bCs/>
          <w:b/>
        </w:rPr>
        <w:t xml:space="preserve">HOLCO</w:t>
      </w:r>
      <w:r>
        <w:t xml:space="preserve"> </w:t>
      </w:r>
      <w:r>
        <w:t xml:space="preserve">applique le principe de minimisation des données (art. 5.1.c RGPD) et limite la journalisation aux métadonnées strictement nécessaires :</w:t>
      </w:r>
    </w:p>
    <w:tbl>
      <w:tblPr>
        <w:tblStyle w:val="Table"/>
        <w:tblW w:type="pct" w:w="5000"/>
        <w:tblLook w:firstRow="1" w:lastRow="0" w:firstColumn="0" w:lastColumn="0" w:noHBand="0" w:noVBand="0" w:val="0020"/>
        <w:jc w:val="start"/>
      </w:tblPr>
      <w:tblGrid>
        <w:gridCol w:w="2091"/>
        <w:gridCol w:w="5828"/>
      </w:tblGrid>
      <w:tr>
        <w:trPr>
          <w:tblHeader w:val="true"/>
        </w:trPr>
        <w:tc>
          <w:tcPr/>
          <w:p>
            <w:pPr>
              <w:pStyle w:val="Compact"/>
              <w:jc w:val="left"/>
            </w:pPr>
            <w:r>
              <w:rPr>
                <w:bCs/>
                <w:b/>
              </w:rPr>
              <w:t xml:space="preserve">Mesure</w:t>
            </w:r>
          </w:p>
        </w:tc>
        <w:tc>
          <w:tcPr/>
          <w:p>
            <w:pPr>
              <w:pStyle w:val="Compact"/>
              <w:jc w:val="left"/>
            </w:pPr>
            <w:r>
              <w:rPr>
                <w:bCs/>
                <w:b/>
              </w:rPr>
              <w:t xml:space="preserve">Description</w:t>
            </w:r>
          </w:p>
        </w:tc>
      </w:tr>
      <w:tr>
        <w:tc>
          <w:tcPr/>
          <w:p>
            <w:pPr>
              <w:pStyle w:val="Compact"/>
              <w:jc w:val="left"/>
            </w:pPr>
            <w:r>
              <w:rPr>
                <w:bCs/>
                <w:b/>
              </w:rPr>
              <w:t xml:space="preserve">Contenu des usage_logs</w:t>
            </w:r>
          </w:p>
        </w:tc>
        <w:tc>
          <w:tcPr/>
          <w:p>
            <w:pPr>
              <w:pStyle w:val="Compact"/>
              <w:jc w:val="left"/>
            </w:pPr>
            <w:r>
              <w:t xml:space="preserve">Les</w:t>
            </w:r>
            <w:r>
              <w:t xml:space="preserve"> </w:t>
            </w:r>
            <w:r>
              <w:rPr>
                <w:bCs/>
                <w:b/>
              </w:rPr>
              <w:t xml:space="preserve">usage_logs</w:t>
            </w:r>
            <w:r>
              <w:t xml:space="preserve"> </w:t>
            </w:r>
            <w:r>
              <w:t xml:space="preserve">enregistrent uniquement les informations suivantes :</w:t>
            </w:r>
            <w:r>
              <w:t xml:space="preserve"> </w:t>
            </w:r>
            <w:r>
              <w:t xml:space="preserve"> </w:t>
            </w:r>
            <w:r>
              <w:t xml:space="preserve">- Route consultée (ex :</w:t>
            </w:r>
            <w:r>
              <w:t xml:space="preserve"> </w:t>
            </w:r>
            <w:r>
              <w:rPr>
                <w:rStyle w:val="VerbatimChar"/>
              </w:rPr>
              <w:t xml:space="preserve">/api/v1/balance</w:t>
            </w:r>
            <w:r>
              <w:t xml:space="preserve">)</w:t>
            </w:r>
            <w:r>
              <w:t xml:space="preserve"> </w:t>
            </w:r>
            <w:r>
              <w:t xml:space="preserve"> </w:t>
            </w:r>
            <w:r>
              <w:t xml:space="preserve">- Outil utilisé (ex :</w:t>
            </w:r>
            <w:r>
              <w:t xml:space="preserve"> </w:t>
            </w:r>
            <w:r>
              <w:rPr>
                <w:rStyle w:val="VerbatimChar"/>
              </w:rPr>
              <w:t xml:space="preserve">PennyPilot</w:t>
            </w:r>
            <w:r>
              <w:t xml:space="preserve">)</w:t>
            </w:r>
            <w:r>
              <w:t xml:space="preserve"> </w:t>
            </w:r>
            <w:r>
              <w:t xml:space="preserve"> </w:t>
            </w:r>
            <w:r>
              <w:t xml:space="preserve">- Statut HTTP de la requête (ex :</w:t>
            </w:r>
            <w:r>
              <w:t xml:space="preserve"> </w:t>
            </w:r>
            <w:r>
              <w:rPr>
                <w:rStyle w:val="VerbatimChar"/>
              </w:rPr>
              <w:t xml:space="preserve">200</w:t>
            </w:r>
            <w:r>
              <w:t xml:space="preserve">,</w:t>
            </w:r>
            <w:r>
              <w:t xml:space="preserve"> </w:t>
            </w:r>
            <w:r>
              <w:rPr>
                <w:rStyle w:val="VerbatimChar"/>
              </w:rPr>
              <w:t xml:space="preserve">404</w:t>
            </w:r>
            <w:r>
              <w:t xml:space="preserve">)</w:t>
            </w:r>
            <w:r>
              <w:t xml:space="preserve"> </w:t>
            </w:r>
            <w:r>
              <w:t xml:space="preserve"> </w:t>
            </w:r>
            <w:r>
              <w:t xml:space="preserve">- Latence (en ms)</w:t>
            </w:r>
            <w:r>
              <w:t xml:space="preserve"> </w:t>
            </w:r>
            <w:r>
              <w:t xml:space="preserve"> </w:t>
            </w:r>
            <w:r>
              <w:t xml:space="preserve">- Horodatage (UTC)</w:t>
            </w:r>
            <w:r>
              <w:t xml:space="preserve"> </w:t>
            </w:r>
            <w:r>
              <w:t xml:space="preserve"> </w:t>
            </w:r>
            <w:r>
              <w:t xml:space="preserve">- Identifiant utilisateur (anonymisé si possible).</w:t>
            </w:r>
            <w:r>
              <w:t xml:space="preserve"> </w:t>
            </w:r>
            <w:r>
              <w:t xml:space="preserve"> </w:t>
            </w:r>
            <w:r>
              <w:rPr>
                <w:bCs/>
                <w:b/>
              </w:rPr>
              <w:t xml:space="preserve">Exclusion</w:t>
            </w:r>
            <w:r>
              <w:t xml:space="preserve"> </w:t>
            </w:r>
            <w:r>
              <w:t xml:space="preserve">: Aucun contenu de prompt, donnée comptable ou donnée personnelle n’est journalisé.</w:t>
            </w:r>
          </w:p>
        </w:tc>
      </w:tr>
      <w:tr>
        <w:tc>
          <w:tcPr/>
          <w:p>
            <w:pPr>
              <w:pStyle w:val="Compact"/>
              <w:jc w:val="left"/>
            </w:pPr>
            <w:r>
              <w:rPr>
                <w:bCs/>
                <w:b/>
              </w:rPr>
              <w:t xml:space="preserve">Transit des données comptables</w:t>
            </w:r>
          </w:p>
        </w:tc>
        <w:tc>
          <w:tcPr/>
          <w:p>
            <w:pPr>
              <w:pStyle w:val="Compact"/>
              <w:jc w:val="left"/>
            </w:pPr>
            <w:r>
              <w:t xml:space="preserve">Les données comptables transitent entre</w:t>
            </w:r>
            <w:r>
              <w:t xml:space="preserve"> </w:t>
            </w:r>
            <w:r>
              <w:rPr>
                <w:bCs/>
                <w:b/>
              </w:rPr>
              <w:t xml:space="preserve">PennyPilot</w:t>
            </w:r>
            <w:r>
              <w:t xml:space="preserve"> </w:t>
            </w:r>
            <w:r>
              <w:t xml:space="preserve">et l’API</w:t>
            </w:r>
            <w:r>
              <w:t xml:space="preserve"> </w:t>
            </w:r>
            <w:r>
              <w:rPr>
                <w:bCs/>
                <w:b/>
              </w:rPr>
              <w:t xml:space="preserve">Pennylane</w:t>
            </w:r>
            <w:r>
              <w:t xml:space="preserve"> </w:t>
            </w:r>
            <w:r>
              <w:t xml:space="preserve">sans être stockées, mises en cache ou copiées durablement par</w:t>
            </w:r>
            <w:r>
              <w:t xml:space="preserve"> </w:t>
            </w:r>
            <w:r>
              <w:rPr>
                <w:bCs/>
                <w:b/>
              </w:rPr>
              <w:t xml:space="preserve">HOLCO</w:t>
            </w:r>
            <w:r>
              <w:t xml:space="preserve">.</w:t>
            </w:r>
          </w:p>
        </w:tc>
      </w:tr>
      <w:tr>
        <w:tc>
          <w:tcPr/>
          <w:p>
            <w:pPr>
              <w:pStyle w:val="Compact"/>
              <w:jc w:val="left"/>
            </w:pPr>
            <w:r>
              <w:rPr>
                <w:bCs/>
                <w:b/>
              </w:rPr>
              <w:t xml:space="preserve">Piste d’audit horodatée</w:t>
            </w:r>
          </w:p>
        </w:tc>
        <w:tc>
          <w:tcPr/>
          <w:p>
            <w:pPr>
              <w:pStyle w:val="Compact"/>
              <w:jc w:val="left"/>
            </w:pPr>
            <w:r>
              <w:t xml:space="preserve">Une piste d’audit complète et horodatée est maintenue pour toutes les opérations critiques (ex : authentification, accès aux données), conformément à l’article 30.1 du RGPD.</w:t>
            </w:r>
          </w:p>
        </w:tc>
      </w:tr>
    </w:tbl>
    <w:bookmarkEnd w:id="47"/>
    <w:bookmarkStart w:id="48" w:name="contrôle-daccès"/>
    <w:p>
      <w:pPr>
        <w:pStyle w:val="Heading2"/>
      </w:pPr>
      <w:r>
        <w:t xml:space="preserve">4. Contrôle d’accès</w:t>
      </w:r>
    </w:p>
    <w:p>
      <w:pPr>
        <w:pStyle w:val="FirstParagraph"/>
      </w:pPr>
      <w:r>
        <w:rPr>
          <w:bCs/>
          <w:b/>
        </w:rPr>
        <w:t xml:space="preserve">HOLCO</w:t>
      </w:r>
      <w:r>
        <w:t xml:space="preserve"> </w:t>
      </w:r>
      <w:r>
        <w:t xml:space="preserve">met en œuvre un contrôle d’accès strict et individualisé :</w:t>
      </w:r>
    </w:p>
    <w:tbl>
      <w:tblPr>
        <w:tblStyle w:val="Table"/>
        <w:tblW w:type="pct" w:w="5000"/>
        <w:tblLook w:firstRow="1" w:lastRow="0" w:firstColumn="0" w:lastColumn="0" w:noHBand="0" w:noVBand="0" w:val="0020"/>
        <w:jc w:val="start"/>
      </w:tblPr>
      <w:tblGrid>
        <w:gridCol w:w="2091"/>
        <w:gridCol w:w="5828"/>
      </w:tblGrid>
      <w:tr>
        <w:trPr>
          <w:tblHeader w:val="true"/>
        </w:trPr>
        <w:tc>
          <w:tcPr/>
          <w:p>
            <w:pPr>
              <w:pStyle w:val="Compact"/>
              <w:jc w:val="left"/>
            </w:pPr>
            <w:r>
              <w:rPr>
                <w:bCs/>
                <w:b/>
              </w:rPr>
              <w:t xml:space="preserve">Mesure</w:t>
            </w:r>
          </w:p>
        </w:tc>
        <w:tc>
          <w:tcPr/>
          <w:p>
            <w:pPr>
              <w:pStyle w:val="Compact"/>
              <w:jc w:val="left"/>
            </w:pPr>
            <w:r>
              <w:rPr>
                <w:bCs/>
                <w:b/>
              </w:rPr>
              <w:t xml:space="preserve">Description</w:t>
            </w:r>
          </w:p>
        </w:tc>
      </w:tr>
      <w:tr>
        <w:tc>
          <w:tcPr/>
          <w:p>
            <w:pPr>
              <w:pStyle w:val="Compact"/>
              <w:jc w:val="left"/>
            </w:pPr>
            <w:r>
              <w:rPr>
                <w:bCs/>
                <w:b/>
              </w:rPr>
              <w:t xml:space="preserve">Attribution par utilisateur nommé</w:t>
            </w:r>
          </w:p>
        </w:tc>
        <w:tc>
          <w:tcPr/>
          <w:p>
            <w:pPr>
              <w:pStyle w:val="Compact"/>
              <w:jc w:val="left"/>
            </w:pPr>
            <w:r>
              <w:t xml:space="preserve">Chaque collaborateur du</w:t>
            </w:r>
            <w:r>
              <w:t xml:space="preserve"> </w:t>
            </w:r>
            <w:r>
              <w:rPr>
                <w:bCs/>
                <w:b/>
              </w:rPr>
              <w:t xml:space="preserve">Cabinet [NOM_DU_CABINET]</w:t>
            </w:r>
            <w:r>
              <w:t xml:space="preserve"> </w:t>
            </w:r>
            <w:r>
              <w:t xml:space="preserve">dispose d’un compte utilisateur nominatif pour accéder à</w:t>
            </w:r>
            <w:r>
              <w:t xml:space="preserve"> </w:t>
            </w:r>
            <w:r>
              <w:rPr>
                <w:bCs/>
                <w:b/>
              </w:rPr>
              <w:t xml:space="preserve">PennyPilot</w:t>
            </w:r>
            <w:r>
              <w:t xml:space="preserve">. Aucun compte générique ou partagé n’est autorisé.</w:t>
            </w:r>
          </w:p>
        </w:tc>
      </w:tr>
      <w:tr>
        <w:tc>
          <w:tcPr/>
          <w:p>
            <w:pPr>
              <w:pStyle w:val="Compact"/>
              <w:jc w:val="left"/>
            </w:pPr>
            <w:r>
              <w:rPr>
                <w:bCs/>
                <w:b/>
              </w:rPr>
              <w:t xml:space="preserve">Secrets révocables</w:t>
            </w:r>
          </w:p>
        </w:tc>
        <w:tc>
          <w:tcPr/>
          <w:p>
            <w:pPr>
              <w:pStyle w:val="Compact"/>
              <w:jc w:val="left"/>
            </w:pPr>
            <w:r>
              <w:t xml:space="preserve">Les tokens d’accès et les clés d’API sont révocables à tout moment par le</w:t>
            </w:r>
            <w:r>
              <w:t xml:space="preserve"> </w:t>
            </w:r>
            <w:r>
              <w:rPr>
                <w:bCs/>
                <w:b/>
              </w:rPr>
              <w:t xml:space="preserve">Cabinet [NOM_DU_CABINET]</w:t>
            </w:r>
            <w:r>
              <w:t xml:space="preserve"> </w:t>
            </w:r>
            <w:r>
              <w:t xml:space="preserve">ou</w:t>
            </w:r>
            <w:r>
              <w:t xml:space="preserve"> </w:t>
            </w:r>
            <w:r>
              <w:rPr>
                <w:bCs/>
                <w:b/>
              </w:rPr>
              <w:t xml:space="preserve">HOLCO</w:t>
            </w:r>
            <w:r>
              <w:t xml:space="preserve">, notamment en cas de suspicion de compromission ou de départ d’un collaborateur.</w:t>
            </w:r>
          </w:p>
        </w:tc>
      </w:tr>
      <w:tr>
        <w:tc>
          <w:tcPr/>
          <w:p>
            <w:pPr>
              <w:pStyle w:val="Compact"/>
              <w:jc w:val="left"/>
            </w:pPr>
            <w:r>
              <w:rPr>
                <w:bCs/>
                <w:b/>
              </w:rPr>
              <w:t xml:space="preserve">Authentification par secret nominatif</w:t>
            </w:r>
          </w:p>
        </w:tc>
        <w:tc>
          <w:tcPr/>
          <w:p>
            <w:pPr>
              <w:pStyle w:val="Compact"/>
              <w:jc w:val="left"/>
            </w:pPr>
            <w:r>
              <w:t xml:space="preserve">L’accès à</w:t>
            </w:r>
            <w:r>
              <w:t xml:space="preserve"> </w:t>
            </w:r>
            <w:r>
              <w:rPr>
                <w:bCs/>
                <w:b/>
              </w:rPr>
              <w:t xml:space="preserve">PennyPilot</w:t>
            </w:r>
            <w:r>
              <w:t xml:space="preserve"> </w:t>
            </w:r>
            <w:r>
              <w:t xml:space="preserve">s’effectue au moyen d’une clé d’API/secret propre à chaque utilisateur nommé, stockée hachée (SHA-256) côté serveur et révocable à tout moment. Aucun secret n’est partagé entre utilisateurs.</w:t>
            </w:r>
          </w:p>
        </w:tc>
      </w:tr>
    </w:tbl>
    <w:bookmarkEnd w:id="48"/>
    <w:bookmarkStart w:id="49" w:name="disponibilité-et-résilience"/>
    <w:p>
      <w:pPr>
        <w:pStyle w:val="Heading2"/>
      </w:pPr>
      <w:r>
        <w:t xml:space="preserve">5. Disponibilité et résilience</w:t>
      </w:r>
    </w:p>
    <w:p>
      <w:pPr>
        <w:pStyle w:val="FirstParagraph"/>
      </w:pPr>
      <w:r>
        <w:rPr>
          <w:bCs/>
          <w:b/>
        </w:rPr>
        <w:t xml:space="preserve">HOLCO</w:t>
      </w:r>
      <w:r>
        <w:t xml:space="preserve"> </w:t>
      </w:r>
      <w:r>
        <w:t xml:space="preserve">garantit la disponibilité et la résilience du service via les mesures suivantes :</w:t>
      </w:r>
    </w:p>
    <w:tbl>
      <w:tblPr>
        <w:tblStyle w:val="Table"/>
        <w:tblW w:type="pct" w:w="5000"/>
        <w:tblLook w:firstRow="1" w:lastRow="0" w:firstColumn="0" w:lastColumn="0" w:noHBand="0" w:noVBand="0" w:val="0020"/>
        <w:jc w:val="start"/>
      </w:tblPr>
      <w:tblGrid>
        <w:gridCol w:w="2091"/>
        <w:gridCol w:w="5828"/>
      </w:tblGrid>
      <w:tr>
        <w:trPr>
          <w:tblHeader w:val="true"/>
        </w:trPr>
        <w:tc>
          <w:tcPr/>
          <w:p>
            <w:pPr>
              <w:pStyle w:val="Compact"/>
              <w:jc w:val="left"/>
            </w:pPr>
            <w:r>
              <w:rPr>
                <w:bCs/>
                <w:b/>
              </w:rPr>
              <w:t xml:space="preserve">Mesure</w:t>
            </w:r>
          </w:p>
        </w:tc>
        <w:tc>
          <w:tcPr/>
          <w:p>
            <w:pPr>
              <w:pStyle w:val="Compact"/>
              <w:jc w:val="left"/>
            </w:pPr>
            <w:r>
              <w:rPr>
                <w:bCs/>
                <w:b/>
              </w:rPr>
              <w:t xml:space="preserve">Description</w:t>
            </w:r>
          </w:p>
        </w:tc>
      </w:tr>
      <w:tr>
        <w:tc>
          <w:tcPr/>
          <w:p>
            <w:pPr>
              <w:pStyle w:val="Compact"/>
              <w:jc w:val="left"/>
            </w:pPr>
            <w:r>
              <w:rPr>
                <w:bCs/>
                <w:b/>
              </w:rPr>
              <w:t xml:space="preserve">Rate limiting</w:t>
            </w:r>
          </w:p>
        </w:tc>
        <w:tc>
          <w:tcPr/>
          <w:p>
            <w:pPr>
              <w:pStyle w:val="Compact"/>
              <w:jc w:val="left"/>
            </w:pPr>
            <w:r>
              <w:t xml:space="preserve">Un mécanisme de limitation de débit est appliqué pour prévenir les attaques par déni de service (DDoS) et garantir la disponibilité du service. Les seuils sont configurés en fonction des besoins du</w:t>
            </w:r>
            <w:r>
              <w:t xml:space="preserve"> </w:t>
            </w:r>
            <w:r>
              <w:rPr>
                <w:bCs/>
                <w:b/>
              </w:rPr>
              <w:t xml:space="preserve">Cabinet [NOM_DU_CABINET]</w:t>
            </w:r>
            <w:r>
              <w:t xml:space="preserve">.</w:t>
            </w:r>
          </w:p>
        </w:tc>
      </w:tr>
      <w:tr>
        <w:tc>
          <w:tcPr/>
          <w:p>
            <w:pPr>
              <w:pStyle w:val="Compact"/>
              <w:jc w:val="left"/>
            </w:pPr>
            <w:r>
              <w:rPr>
                <w:bCs/>
                <w:b/>
              </w:rPr>
              <w:t xml:space="preserve">Sauvegardes rotation 30 jours</w:t>
            </w:r>
          </w:p>
        </w:tc>
        <w:tc>
          <w:tcPr/>
          <w:p>
            <w:pPr>
              <w:pStyle w:val="Compact"/>
              <w:jc w:val="left"/>
            </w:pPr>
            <w:r>
              <w:t xml:space="preserve">Les sauvegardes des configurations et des</w:t>
            </w:r>
            <w:r>
              <w:t xml:space="preserve"> </w:t>
            </w:r>
            <w:r>
              <w:rPr>
                <w:bCs/>
                <w:b/>
              </w:rPr>
              <w:t xml:space="preserve">usage_logs</w:t>
            </w:r>
            <w:r>
              <w:t xml:space="preserve"> </w:t>
            </w:r>
            <w:r>
              <w:t xml:space="preserve">sont réalisées quotidiennement et conservées pendant</w:t>
            </w:r>
            <w:r>
              <w:t xml:space="preserve"> </w:t>
            </w:r>
            <w:r>
              <w:rPr>
                <w:bCs/>
                <w:b/>
              </w:rPr>
              <w:t xml:space="preserve">30 jours</w:t>
            </w:r>
            <w:r>
              <w:t xml:space="preserve">, avec une rotation automatique (écrasement des anciennes sauvegardes). Aucune sauvegarde des données comptables n’est effectuée.</w:t>
            </w:r>
          </w:p>
        </w:tc>
      </w:tr>
    </w:tbl>
    <w:bookmarkEnd w:id="49"/>
    <w:bookmarkStart w:id="50" w:name="mesures-organisationnelles"/>
    <w:p>
      <w:pPr>
        <w:pStyle w:val="Heading2"/>
      </w:pPr>
      <w:r>
        <w:t xml:space="preserve">6. Mesures organisationnelles</w:t>
      </w:r>
    </w:p>
    <w:p>
      <w:pPr>
        <w:pStyle w:val="FirstParagraph"/>
      </w:pPr>
      <w:r>
        <w:rPr>
          <w:bCs/>
          <w:b/>
        </w:rPr>
        <w:t xml:space="preserve">Fournisseur de modèle de langage (LLM - Claude) pour le traitement des prompts utilisateur via API commerciale, selon les conditions commerciales/DPA applicables, avec clauses contractuelles, sécurité documentée et paramètres de non-entraînement lorsque disponibles.</w:t>
      </w:r>
      <w:r>
        <w:t xml:space="preserve"/>
      </w:r>
      <w:r>
        <w:t xml:space="preserve"/>
      </w:r>
    </w:p>
    <w:tbl>
      <w:tblPr>
        <w:tblStyle w:val="Table"/>
        <w:tblW w:type="pct" w:w="5000"/>
        <w:tblLook w:firstRow="1" w:lastRow="0" w:firstColumn="0" w:lastColumn="0" w:noHBand="0" w:noVBand="0" w:val="0020"/>
        <w:jc w:val="start"/>
      </w:tblPr>
      <w:tblGrid>
        <w:gridCol w:w="2091"/>
        <w:gridCol w:w="5828"/>
      </w:tblGrid>
      <w:tr>
        <w:trPr>
          <w:tblHeader w:val="true"/>
        </w:trPr>
        <w:tc>
          <w:tcPr/>
          <w:p>
            <w:pPr>
              <w:pStyle w:val="Compact"/>
              <w:jc w:val="left"/>
            </w:pPr>
            <w:r>
              <w:rPr>
                <w:bCs/>
                <w:b/>
              </w:rPr>
              <w:t xml:space="preserve">Mesure</w:t>
            </w:r>
          </w:p>
        </w:tc>
        <w:tc>
          <w:tcPr/>
          <w:p>
            <w:pPr>
              <w:pStyle w:val="Compact"/>
              <w:jc w:val="left"/>
            </w:pPr>
            <w:r>
              <w:rPr>
                <w:bCs/>
                <w:b/>
              </w:rPr>
              <w:t xml:space="preserve">Description</w:t>
            </w:r>
          </w:p>
        </w:tc>
      </w:tr>
      <w:tr>
        <w:tc>
          <w:tcPr/>
          <w:p>
            <w:pPr>
              <w:pStyle w:val="Compact"/>
              <w:jc w:val="left"/>
            </w:pPr>
            <w:r>
              <w:rPr>
                <w:bCs/>
                <w:b/>
              </w:rPr>
              <w:t xml:space="preserve">Engagement de confidentialité du personnel</w:t>
            </w:r>
          </w:p>
        </w:tc>
        <w:tc>
          <w:tcPr/>
          <w:p>
            <w:pPr>
              <w:pStyle w:val="Compact"/>
              <w:jc w:val="left"/>
            </w:pPr>
            <w:r>
              <w:t xml:space="preserve">Tous les employés et sous-traitants de</w:t>
            </w:r>
            <w:r>
              <w:t xml:space="preserve"> </w:t>
            </w:r>
            <w:r>
              <w:rPr>
                <w:bCs/>
                <w:b/>
              </w:rPr>
              <w:t xml:space="preserve">HOLCO</w:t>
            </w:r>
            <w:r>
              <w:t xml:space="preserve"> </w:t>
            </w:r>
            <w:r>
              <w:t xml:space="preserve">ayant accès aux systèmes ou aux données sont soumis à un engagement de confidentialité strict, conformément à l’article 28.3.b du RGPD.</w:t>
            </w:r>
          </w:p>
        </w:tc>
      </w:tr>
      <w:tr>
        <w:tc>
          <w:tcPr/>
          <w:p>
            <w:pPr>
              <w:pStyle w:val="Compact"/>
              <w:jc w:val="left"/>
            </w:pPr>
            <w:r>
              <w:rPr>
                <w:bCs/>
                <w:b/>
              </w:rPr>
              <w:t xml:space="preserve">Gestion des sous-traitants ultérieurs</w:t>
            </w:r>
          </w:p>
        </w:tc>
        <w:tc>
          <w:tcPr/>
          <w:p>
            <w:pPr>
              <w:pStyle w:val="Compact"/>
              <w:jc w:val="left"/>
            </w:pPr>
            <w:r>
              <w:t xml:space="preserve">Tout sous-traitant ultérieur impliqué dans le traitement des données est soumis à un contrat écrit incluant les mêmes obligations de sécurité et de confidentialité que celles imposées à</w:t>
            </w:r>
            <w:r>
              <w:t xml:space="preserve"> </w:t>
            </w:r>
            <w:r>
              <w:rPr>
                <w:bCs/>
                <w:b/>
              </w:rPr>
              <w:t xml:space="preserve">HOLCO</w:t>
            </w:r>
            <w:r>
              <w:t xml:space="preserve">.</w:t>
            </w:r>
          </w:p>
        </w:tc>
      </w:tr>
      <w:tr>
        <w:tc>
          <w:tcPr/>
          <w:p>
            <w:pPr>
              <w:pStyle w:val="Compact"/>
              <w:jc w:val="left"/>
            </w:pPr>
            <w:r>
              <w:rPr>
                <w:bCs/>
                <w:b/>
              </w:rPr>
              <w:t xml:space="preserve">Réduction de la surface d’exposition</w:t>
            </w:r>
          </w:p>
        </w:tc>
        <w:tc>
          <w:tcPr/>
          <w:p>
            <w:pPr>
              <w:pStyle w:val="Compact"/>
              <w:jc w:val="left"/>
            </w:pPr>
            <w:r>
              <w:t xml:space="preserve">L’architecture est conçue pour minimiser les données accessibles : lecture seule, absence de copie durable des données comptables, secrets chiffrés/hachés, journalisation sans contenu métier.</w:t>
            </w:r>
          </w:p>
        </w:tc>
      </w:tr>
    </w:tbl>
    <w:p>
      <w:r>
        <w:pict>
          <ns1:rect style="width:0;height:1.5pt" ns2:hralign="center" ns2:hrstd="t" ns2:hr="t"/>
        </w:pict>
      </w:r>
    </w:p>
    <w:bookmarkEnd w:id="50"/>
    <w:bookmarkEnd w:id="51"/>
    <w:bookmarkStart w:id="52" w:name="X024419d5f9da1763192c83f6582340e9f765172"/>
    <w:p>
      <w:pPr>
        <w:pStyle w:val="Heading1"/>
      </w:pPr>
      <w:r>
        <w:t xml:space="preserve">PIÈCE A3 — Annexes 3 &amp; 4 + Extrait registre (art. 30)</w:t>
      </w:r>
    </w:p>
    <w:bookmarkEnd w:id="52"/>
    <w:bookmarkStart w:id="53" w:name="Xe3569c0b32d93ed2fb1292a325a9854cf145a31"/>
    <w:p>
      <w:pPr>
        <w:pStyle w:val="Heading1"/>
      </w:pPr>
      <w:r>
        <w:t xml:space="preserve">ANNEXE 3 DU CONTRAT DE SOUS-TRAITANCE (DPA)</w:t>
      </w:r>
    </w:p>
    <w:p>
      <w:pPr>
        <w:pStyle w:val="FirstParagraph"/>
      </w:pPr>
      <w:r>
        <w:rPr>
          <w:bCs/>
          <w:b/>
        </w:rPr>
        <w:t xml:space="preserve">Liste des sous-traitants ultérieurs autorisés par HOLCO INVEST</w:t>
      </w:r>
    </w:p>
    <w:p>
      <w:pPr>
        <w:pStyle w:val="BodyText"/>
      </w:pPr>
      <w:r>
        <w:t xml:space="preserve">Conformément à l’article 28.2 du Règlement (UE) 2016/679 (RGPD), HOLCO INVEST (SIREN 819 582 453) informe [CABINET] de la liste des sous-traitants ultérieurs impliqués dans le traitement des données personnelles pour le service</w:t>
      </w:r>
      <w:r>
        <w:t xml:space="preserve"> </w:t>
      </w:r>
      <w:r>
        <w:rPr>
          <w:bCs/>
          <w:b/>
        </w:rPr>
        <w:t xml:space="preserve">PennyPilot</w:t>
      </w:r>
      <w:r>
        <w:t xml:space="preserve">. Tout ajout ou remplacement d’un sous-traitant ultérieur fera l’objet d’une information préalable écrite à [CABINET], qui disposera d’un droit d’opposition motivé dans un délai de</w:t>
      </w:r>
      <w:r>
        <w:t xml:space="preserve"> </w:t>
      </w:r>
      <w:r>
        <w:rPr>
          <w:bCs/>
          <w:b/>
        </w:rPr>
        <w:t xml:space="preserve">trente (30) jours</w:t>
      </w:r>
      <w:r>
        <w:t xml:space="preserve"> </w:t>
      </w:r>
      <w:r>
        <w:t xml:space="preserve">à compter de la notification. En cas d’opposition légitime, HOLCO s’engage à proposer une solution alternative ou à résilier le contrat dans les conditions prévues à l’article 28.3 du RGPD.</w:t>
      </w:r>
    </w:p>
    <w:p>
      <w:pPr>
        <w:pStyle w:val="BodyText"/>
      </w:pPr>
      <w:r>
        <w:t xml:space="preserve">HOLCO impose contractuellement à chacun de ses sous-traitants ultérieurs des obligations équivalentes à celles prévues à l’article 28.4 du RGPD, notamment en matière de sécurité, de confidentialité et de respect des droits des personnes concernées.</w:t>
      </w:r>
    </w:p>
    <w:tbl>
      <w:tblPr>
        <w:tblStyle w:val="Table"/>
        <w:tblW w:type="pct" w:w="5000"/>
        <w:tblLook w:firstRow="1" w:lastRow="0" w:firstColumn="0" w:lastColumn="0" w:noHBand="0" w:noVBand="0" w:val="0020"/>
        <w:jc w:val="start"/>
      </w:tblPr>
      <w:tblGrid>
        <w:gridCol w:w="811"/>
        <w:gridCol w:w="2027"/>
        <w:gridCol w:w="834"/>
        <w:gridCol w:w="2075"/>
        <w:gridCol w:w="2170"/>
      </w:tblGrid>
      <w:tr>
        <w:trPr>
          <w:tblHeader w:val="true"/>
        </w:trPr>
        <w:tc>
          <w:tcPr/>
          <w:p>
            <w:pPr>
              <w:pStyle w:val="Compact"/>
              <w:jc w:val="left"/>
            </w:pPr>
            <w:r>
              <w:rPr>
                <w:bCs/>
                <w:b/>
              </w:rPr>
              <w:t xml:space="preserve">Sous-traitant</w:t>
            </w:r>
          </w:p>
        </w:tc>
        <w:tc>
          <w:tcPr/>
          <w:p>
            <w:pPr>
              <w:pStyle w:val="Compact"/>
              <w:jc w:val="left"/>
            </w:pPr>
            <w:r>
              <w:rPr>
                <w:bCs/>
                <w:b/>
              </w:rPr>
              <w:t xml:space="preserve">Rôle / Finalité</w:t>
            </w:r>
          </w:p>
        </w:tc>
        <w:tc>
          <w:tcPr/>
          <w:p>
            <w:pPr>
              <w:pStyle w:val="Compact"/>
              <w:jc w:val="left"/>
            </w:pPr>
            <w:r>
              <w:rPr>
                <w:bCs/>
                <w:b/>
              </w:rPr>
              <w:t xml:space="preserve">Localisation de l’hébergement</w:t>
            </w:r>
          </w:p>
        </w:tc>
        <w:tc>
          <w:tcPr/>
          <w:p>
            <w:pPr>
              <w:pStyle w:val="Compact"/>
              <w:jc w:val="left"/>
            </w:pPr>
            <w:r>
              <w:rPr>
                <w:bCs/>
                <w:b/>
              </w:rPr>
              <w:t xml:space="preserve">Données concernées</w:t>
            </w:r>
          </w:p>
        </w:tc>
        <w:tc>
          <w:tcPr/>
          <w:p>
            <w:pPr>
              <w:pStyle w:val="Compact"/>
              <w:jc w:val="left"/>
            </w:pPr>
            <w:r>
              <w:rPr>
                <w:bCs/>
                <w:b/>
              </w:rPr>
              <w:t xml:space="preserve">Garanties de transfert</w:t>
            </w:r>
          </w:p>
        </w:tc>
      </w:tr>
      <w:tr>
        <w:tc>
          <w:tcPr/>
          <w:p>
            <w:pPr>
              <w:pStyle w:val="Compact"/>
              <w:jc w:val="left"/>
            </w:pPr>
            <w:r>
              <w:rPr>
                <w:bCs/>
                <w:b/>
              </w:rPr>
              <w:t xml:space="preserve">Envoi d’emails transactionnels (notifications, magic links). Transport principal Scaleway TEM ; fallback Resend si nécessaire.</w:t>
            </w:r>
          </w:p>
        </w:tc>
        <w:tc>
          <w:tcPr/>
          <w:p>
            <w:pPr>
              <w:pStyle w:val="Compact"/>
              <w:jc w:val="left"/>
            </w:pPr>
            <w:r>
              <w:t xml:space="preserve">France / Union européenne (Scaleway TEM) ; États-Unis (Resend en fallback).</w:t>
            </w:r>
            <w:r>
              <w:t xml:space="preserve"/>
            </w:r>
            <w:r>
              <w:rPr>
                <w:bCs/>
                <w:b/>
              </w:rPr>
              <w:t xml:space="preserve"/>
            </w:r>
            <w:r>
              <w:t xml:space="preserve"/>
            </w:r>
            <w:r>
              <w:t xml:space="preserve"/>
            </w:r>
            <w:r>
              <w:t xml:space="preserve"/>
            </w:r>
            <w:r>
              <w:rPr>
                <w:bCs/>
                <w:b/>
              </w:rPr>
              <w:t xml:space="preserve"/>
            </w:r>
            <w:r>
              <w:t xml:space="preserve"/>
            </w:r>
            <w:r>
              <w:t xml:space="preserve"/>
            </w:r>
          </w:p>
        </w:tc>
        <w:tc>
          <w:tcPr/>
          <w:p>
            <w:pPr>
              <w:pStyle w:val="Compact"/>
              <w:jc w:val="left"/>
            </w:pPr>
            <w:r>
              <w:t xml:space="preserve">États-Unis (USA)</w:t>
            </w:r>
          </w:p>
        </w:tc>
        <w:tc>
          <w:tcPr/>
          <w:p>
            <w:pPr>
              <w:pStyle w:val="Compact"/>
              <w:jc w:val="left"/>
            </w:pPr>
            <w:r>
              <w:t xml:space="preserve">Transfert intra-UE pour Scaleway TEM. Pour Resend en fallback : EU-US Data Privacy Framework (DPF) et CCT si nécessaire.</w:t>
            </w:r>
          </w:p>
        </w:tc>
        <w:tc>
          <w:tcPr/>
          <w:p>
            <w:pPr>
              <w:pStyle w:val="Compact"/>
              <w:jc w:val="left"/>
            </w:pPr>
            <w:r>
              <w:rPr>
                <w:bCs/>
                <w:b/>
              </w:rPr>
              <w:t xml:space="preserve">Clauses Contractuelles Types (CCT/SCC)</w:t>
            </w:r>
            <w:r>
              <w:t xml:space="preserve"> </w:t>
            </w:r>
            <w:r>
              <w:t xml:space="preserve">de la Commission européenne, Module 2 (responsable→sous-traitant), art. 46.2.c RGPD — intégrées au DPA Anthropic.</w:t>
            </w:r>
            <w:r>
              <w:t xml:space="preserve"> </w:t>
            </w:r>
            <w:r>
              <w:rPr>
                <w:iCs/>
                <w:i/>
              </w:rPr>
              <w:t xml:space="preserve">(Anthropic n’est pas certifié au DPF ; le transfert repose sur les CCT.)</w:t>
            </w:r>
          </w:p>
        </w:tc>
      </w:tr>
      <w:tr>
        <w:tc>
          <w:tcPr/>
          <w:p>
            <w:pPr>
              <w:pStyle w:val="Compact"/>
              <w:jc w:val="left"/>
            </w:pPr>
            <w:r>
              <w:rPr>
                <w:bCs/>
                <w:b/>
              </w:rPr>
              <w:t xml:space="preserve">OpenAI</w:t>
            </w:r>
          </w:p>
        </w:tc>
        <w:tc>
          <w:tcPr/>
          <w:p>
            <w:pPr>
              <w:pStyle w:val="Compact"/>
              <w:jc w:val="left"/>
            </w:pPr>
            <w:r>
              <w:t xml:space="preserve">Fournisseur de modèle de langage (LLM - ChatGPT / Custom GPT) pour le traitement des prompts utilisateur.</w:t>
            </w:r>
          </w:p>
        </w:tc>
        <w:tc>
          <w:tcPr/>
          <w:p>
            <w:pPr>
              <w:pStyle w:val="Compact"/>
              <w:jc w:val="left"/>
            </w:pPr>
            <w:r>
              <w:t xml:space="preserve">États-Unis (USA)</w:t>
            </w:r>
          </w:p>
        </w:tc>
        <w:tc>
          <w:tcPr/>
          <w:p>
            <w:pPr>
              <w:pStyle w:val="Compact"/>
              <w:jc w:val="left"/>
            </w:pPr>
            <w:r>
              <w:t xml:space="preserve">Prompts utilisateur.</w:t>
            </w:r>
          </w:p>
        </w:tc>
        <w:tc>
          <w:tcPr/>
          <w:p>
            <w:pPr>
              <w:pStyle w:val="Compact"/>
              <w:jc w:val="left"/>
            </w:pPr>
            <w:r>
              <w:t xml:space="preserve">-</w:t>
            </w:r>
            <w:r>
              <w:t xml:space="preserve"> </w:t>
            </w:r>
            <w:r>
              <w:rPr>
                <w:bCs/>
                <w:b/>
              </w:rPr>
              <w:t xml:space="preserve">EU-US Data Privacy Framework (DPF)</w:t>
            </w:r>
            <w:r>
              <w:t xml:space="preserve"> </w:t>
            </w:r>
            <w:r>
              <w:t xml:space="preserve">(art. 45 RGPD).</w:t>
            </w:r>
            <w:r>
              <w:t xml:space="preserve">-</w:t>
            </w:r>
            <w:r>
              <w:t xml:space="preserve"> </w:t>
            </w:r>
            <w:r>
              <w:rPr>
                <w:bCs/>
                <w:b/>
              </w:rPr>
              <w:t xml:space="preserve">CCT</w:t>
            </w:r>
            <w:r>
              <w:t xml:space="preserve"> </w:t>
            </w:r>
            <w:r>
              <w:t xml:space="preserve">(art. 46.2.c RGPD) en cas de non-application du DPF.</w:t>
            </w:r>
          </w:p>
        </w:tc>
      </w:tr>
      <w:tr>
        <w:tc>
          <w:tcPr/>
          <w:p>
            <w:pPr>
              <w:pStyle w:val="Compact"/>
              <w:jc w:val="left"/>
            </w:pPr>
            <w:r>
              <w:rPr>
                <w:bCs/>
                <w:b/>
              </w:rPr>
              <w:t xml:space="preserve">Mistral AI</w:t>
            </w:r>
          </w:p>
        </w:tc>
        <w:tc>
          <w:tcPr/>
          <w:p>
            <w:pPr>
              <w:pStyle w:val="Compact"/>
              <w:jc w:val="left"/>
            </w:pPr>
            <w:r>
              <w:t xml:space="preserve">Fournisseur de modèle de langage (LLM - Le Chat) en option</w:t>
            </w:r>
            <w:r>
              <w:t xml:space="preserve"> </w:t>
            </w:r>
            <w:r>
              <w:rPr>
                <w:bCs/>
                <w:b/>
              </w:rPr>
              <w:t xml:space="preserve">souveraine UE</w:t>
            </w:r>
            <w:r>
              <w:t xml:space="preserve"> </w:t>
            </w:r>
            <w:r>
              <w:t xml:space="preserve">pour les cabinets exigeant un cantonnement des données dans l’Union européenne.</w:t>
            </w:r>
          </w:p>
        </w:tc>
        <w:tc>
          <w:tcPr/>
          <w:p>
            <w:pPr>
              <w:pStyle w:val="Compact"/>
              <w:jc w:val="left"/>
            </w:pPr>
            <w:r>
              <w:t xml:space="preserve">France / Union européenne (UE)</w:t>
            </w:r>
          </w:p>
        </w:tc>
        <w:tc>
          <w:tcPr/>
          <w:p>
            <w:pPr>
              <w:pStyle w:val="Compact"/>
              <w:jc w:val="left"/>
            </w:pPr>
            <w:r>
              <w:t xml:space="preserve">Prompts utilisateur.</w:t>
            </w:r>
          </w:p>
        </w:tc>
        <w:tc>
          <w:tcPr/>
          <w:p>
            <w:pPr>
              <w:pStyle w:val="Compact"/>
              <w:jc w:val="left"/>
            </w:pPr>
            <w:r>
              <w:rPr>
                <w:bCs/>
                <w:b/>
              </w:rPr>
              <w:t xml:space="preserve">Transfert intra-UE</w:t>
            </w:r>
            <w:r>
              <w:t xml:space="preserve"> </w:t>
            </w:r>
            <w:r>
              <w:t xml:space="preserve">: aucune garantie supplémentaire requise (art. 44 RGPD).</w:t>
            </w:r>
          </w:p>
        </w:tc>
      </w:tr>
      <w:tr>
        <w:tc>
          <w:tcPr/>
          <w:p>
            <w:pPr>
              <w:pStyle w:val="Compact"/>
              <w:jc w:val="left"/>
            </w:pPr>
            <w:r>
              <w:rPr>
                <w:bCs/>
                <w:b/>
              </w:rPr>
              <w:t xml:space="preserve">Pennylane</w:t>
            </w:r>
          </w:p>
        </w:tc>
        <w:tc>
          <w:tcPr/>
          <w:p>
            <w:pPr>
              <w:pStyle w:val="Compact"/>
              <w:jc w:val="left"/>
            </w:pPr>
            <w:r>
              <w:t xml:space="preserve">Source des données comptables via API en lecture seule (déjà sous-traitant du cabinet).</w:t>
            </w:r>
          </w:p>
        </w:tc>
        <w:tc>
          <w:tcPr/>
          <w:p>
            <w:pPr>
              <w:pStyle w:val="Compact"/>
              <w:jc w:val="left"/>
            </w:pPr>
            <w:r>
              <w:t xml:space="preserve">Union européenne (UE)</w:t>
            </w:r>
          </w:p>
        </w:tc>
        <w:tc>
          <w:tcPr/>
          <w:p>
            <w:pPr>
              <w:pStyle w:val="Compact"/>
              <w:jc w:val="left"/>
            </w:pPr>
            <w:r>
              <w:t xml:space="preserve">Données comptables (extraites via API sécurisée).</w:t>
            </w:r>
          </w:p>
        </w:tc>
        <w:tc>
          <w:tcPr/>
          <w:p>
            <w:pPr>
              <w:pStyle w:val="Compact"/>
              <w:jc w:val="left"/>
            </w:pPr>
            <w:r>
              <w:rPr>
                <w:bCs/>
                <w:b/>
              </w:rPr>
              <w:t xml:space="preserve">Transfert intra-UE</w:t>
            </w:r>
            <w:r>
              <w:t xml:space="preserve"> </w:t>
            </w:r>
            <w:r>
              <w:t xml:space="preserve">: aucune garantie supplémentaire requise (art. 44 RGPD).</w:t>
            </w:r>
          </w:p>
        </w:tc>
      </w:tr>
      <w:tr>
        <w:tc>
          <w:tcPr/>
          <w:p>
            <w:pPr>
              <w:pStyle w:val="Compact"/>
              <w:jc w:val="left"/>
            </w:pPr>
            <w:r>
              <w:rPr>
                <w:bCs/>
                <w:b/>
              </w:rPr>
              <w:t xml:space="preserve">Scaleway TEM / Resend (fallback)</w:t>
            </w:r>
          </w:p>
        </w:tc>
        <w:tc>
          <w:tcPr/>
          <w:p>
            <w:pPr>
              <w:pStyle w:val="Compact"/>
              <w:jc w:val="left"/>
            </w:pPr>
            <w:r>
              <w:t xml:space="preserve">Envoi d’emails transactionnels (notifications,</w:t>
            </w:r>
            <w:r>
              <w:t xml:space="preserve"> </w:t>
            </w:r>
            <w:r>
              <w:rPr>
                <w:iCs/>
                <w:i/>
              </w:rPr>
              <w:t xml:space="preserve">magic links</w:t>
            </w:r>
            <w:r>
              <w:t xml:space="preserve">).</w:t>
            </w:r>
          </w:p>
        </w:tc>
        <w:tc>
          <w:tcPr/>
          <w:p>
            <w:pPr>
              <w:pStyle w:val="Compact"/>
              <w:jc w:val="left"/>
            </w:pPr>
            <w:r>
              <w:t xml:space="preserve">États-Unis (USA)</w:t>
            </w:r>
          </w:p>
        </w:tc>
        <w:tc>
          <w:tcPr/>
          <w:p>
            <w:pPr>
              <w:pStyle w:val="Compact"/>
              <w:jc w:val="left"/>
            </w:pPr>
            <w:r>
              <w:t xml:space="preserve">Adresses email et métadonnées associées (horodatage, IP).</w:t>
            </w:r>
          </w:p>
        </w:tc>
        <w:tc>
          <w:tcPr/>
          <w:p>
            <w:pPr>
              <w:pStyle w:val="Compact"/>
              <w:jc w:val="left"/>
            </w:pPr>
            <w:r>
              <w:t xml:space="preserve">-</w:t>
            </w:r>
            <w:r>
              <w:t xml:space="preserve"> </w:t>
            </w:r>
            <w:r>
              <w:rPr>
                <w:bCs/>
                <w:b/>
              </w:rPr>
              <w:t xml:space="preserve">EU-US Data Privacy Framework (DPF)</w:t>
            </w:r>
            <w:r>
              <w:t xml:space="preserve"> </w:t>
            </w:r>
            <w:r>
              <w:t xml:space="preserve">(art. 45 RGPD).</w:t>
            </w:r>
            <w:r>
              <w:t xml:space="preserve">-</w:t>
            </w:r>
            <w:r>
              <w:t xml:space="preserve"> </w:t>
            </w:r>
            <w:r>
              <w:rPr>
                <w:bCs/>
                <w:b/>
              </w:rPr>
              <w:t xml:space="preserve">CCT</w:t>
            </w:r>
            <w:r>
              <w:t xml:space="preserve"> </w:t>
            </w:r>
            <w:r>
              <w:t xml:space="preserve">(art. 46.2.c RGPD) en cas de non-application du DPF.</w:t>
            </w:r>
          </w:p>
        </w:tc>
      </w:tr>
      <w:tr>
        <w:tc>
          <w:tcPr/>
          <w:p>
            <w:pPr>
              <w:pStyle w:val="Compact"/>
              <w:jc w:val="left"/>
            </w:pPr>
            <w:r>
              <w:rPr>
                <w:bCs/>
                <w:b/>
              </w:rPr>
              <w:t xml:space="preserve">Hébergeur infrastructure HOLCO</w:t>
            </w:r>
          </w:p>
        </w:tc>
        <w:tc>
          <w:tcPr/>
          <w:p>
            <w:pPr>
              <w:pStyle w:val="Compact"/>
              <w:jc w:val="left"/>
            </w:pPr>
            <w:r>
              <w:t xml:space="preserve">France / Union européenne (Scaleway TEM) ; États-Unis (Resend en fallback).</w:t>
            </w:r>
            <w:r>
              <w:t xml:space="preserve"/>
            </w:r>
            <w:r>
              <w:rPr>
                <w:iCs/>
                <w:i/>
              </w:rPr>
              <w:t xml:space="preserve"/>
            </w:r>
            <w:r>
              <w:t xml:space="preserve"/>
            </w:r>
          </w:p>
        </w:tc>
        <w:tc>
          <w:tcPr/>
          <w:p>
            <w:pPr>
              <w:pStyle w:val="Compact"/>
              <w:jc w:val="left"/>
            </w:pPr>
            <w:r>
              <w:t xml:space="preserve">Union européenne (UE)</w:t>
            </w:r>
          </w:p>
        </w:tc>
        <w:tc>
          <w:tcPr/>
          <w:p>
            <w:pPr>
              <w:pStyle w:val="Compact"/>
              <w:jc w:val="left"/>
            </w:pPr>
            <w:r>
              <w:t xml:space="preserve">Transfert intra-UE pour Scaleway TEM. Pour Resend en fallback : EU-US Data Privacy Framework (DPF) et CCT si nécessaire.</w:t>
            </w:r>
          </w:p>
        </w:tc>
        <w:tc>
          <w:tcPr/>
          <w:p>
            <w:pPr>
              <w:pStyle w:val="Compact"/>
              <w:jc w:val="left"/>
            </w:pPr>
            <w:r>
              <w:rPr>
                <w:bCs/>
                <w:b/>
              </w:rPr>
              <w:t xml:space="preserve">Transfert intra-UE</w:t>
            </w:r>
            <w:r>
              <w:t xml:space="preserve"> </w:t>
            </w:r>
            <w:r>
              <w:t xml:space="preserve">: aucune garantie supplémentaire requise (art. 44 RGPD).</w:t>
            </w:r>
          </w:p>
        </w:tc>
      </w:tr>
    </w:tbl>
    <w:p>
      <w:r>
        <w:pict>
          <ns1:rect style="width:0;height:1.5pt" ns2:hralign="center" ns2:hrstd="t" ns2:hr="t"/>
        </w:pict>
      </w:r>
    </w:p>
    <w:bookmarkEnd w:id="53"/>
    <w:bookmarkStart w:id="58" w:name="X600a2734baa8fdb4c793fb2d92265f37a784dd7"/>
    <w:p>
      <w:pPr>
        <w:pStyle w:val="Heading1"/>
      </w:pPr>
      <w:r>
        <w:t xml:space="preserve">ANNEXE 4 DU CONTRAT DE SOUS-TRAITANCE (DPA)</w:t>
      </w:r>
    </w:p>
    <w:p>
      <w:pPr>
        <w:pStyle w:val="FirstParagraph"/>
      </w:pPr>
      <w:r>
        <w:rPr>
          <w:bCs/>
          <w:b/>
        </w:rPr>
        <w:t xml:space="preserve">Transferts internationaux de données personnelles</w:t>
      </w:r>
    </w:p>
    <w:bookmarkStart w:id="54" w:name="cartographie-des-transferts"/>
    <w:p>
      <w:pPr>
        <w:pStyle w:val="Heading3"/>
      </w:pPr>
      <w:r>
        <w:t xml:space="preserve">1.</w:t>
      </w:r>
      <w:r>
        <w:t xml:space="preserve"> </w:t>
      </w:r>
      <w:r>
        <w:rPr>
          <w:bCs/>
          <w:b/>
        </w:rPr>
        <w:t xml:space="preserve">Cartographie des transferts</w:t>
      </w:r>
    </w:p>
    <w:p>
      <w:pPr>
        <w:pStyle w:val="FirstParagraph"/>
      </w:pPr>
      <w:r>
        <w:t xml:space="preserve">Conformément aux articles 44 à 49 du RGPD, HOLCO INVEST (SIREN 819 582 453) informe [CABINET] des transferts internationaux de données personnelles effectués dans le cadre du service</w:t>
      </w:r>
      <w:r>
        <w:t xml:space="preserve"> </w:t>
      </w:r>
      <w:r>
        <w:rPr>
          <w:bCs/>
          <w:b/>
        </w:rPr>
        <w:t xml:space="preserve">PennyPilot</w:t>
      </w:r>
      <w:r>
        <w:t xml:space="preserve"> </w:t>
      </w:r>
      <w:r>
        <w:t xml:space="preserve">:</w:t>
      </w:r>
    </w:p>
    <w:tbl>
      <w:tblPr>
        <w:tblStyle w:val="Table"/>
        <w:tblW w:type="pct" w:w="5000"/>
        <w:tblLook w:firstRow="1" w:lastRow="0" w:firstColumn="0" w:lastColumn="0" w:noHBand="0" w:noVBand="0" w:val="0020"/>
        <w:jc w:val="start"/>
      </w:tblPr>
      <w:tblGrid>
        <w:gridCol w:w="860"/>
        <w:gridCol w:w="990"/>
        <w:gridCol w:w="2152"/>
        <w:gridCol w:w="3916"/>
      </w:tblGrid>
      <w:tr>
        <w:trPr>
          <w:tblHeader w:val="true"/>
        </w:trPr>
        <w:tc>
          <w:tcPr/>
          <w:p>
            <w:pPr>
              <w:pStyle w:val="Compact"/>
              <w:jc w:val="left"/>
            </w:pPr>
            <w:r>
              <w:rPr>
                <w:bCs/>
                <w:b/>
              </w:rPr>
              <w:t xml:space="preserve">Afin de garantir un niveau de protection adéquat des données transférées, HOLCO met en œuvre les mesures suivantes : - Minimisation des données : les prompts envoyés aux LLM sont limités au strict nécessaire et dépourvus de secrets (clés API, identifiants). - Données comptables : elles restent hébergées dans l’UE et sont accessibles en lecture via l’API Pennylane, sans conservation durable par HOLCO. - Chiffrement : TLS en transit ; token Pennylane chiffré AES-256-GCM ; clés et tokens hachés SHA-256. - Rétention : les fournisseurs LLM sont utilisés selon leurs conditions commerciales/DPA applicables ; HOLCO privilégie les paramètres de non-entraînement et de rétention réduite lorsque disponibles. - Emails : transport principal Scaleway TEM (France/UE), fallback Resend si nécessaire.</w:t>
            </w:r>
          </w:p>
        </w:tc>
        <w:tc>
          <w:tcPr/>
          <w:p>
            <w:pPr>
              <w:pStyle w:val="Compact"/>
              <w:jc w:val="left"/>
            </w:pPr>
            <w:r>
              <w:rPr>
                <w:bCs/>
                <w:b/>
              </w:rPr>
              <w:t xml:space="preserve">Pays destinataire</w:t>
            </w:r>
          </w:p>
        </w:tc>
        <w:tc>
          <w:tcPr/>
          <w:p>
            <w:pPr>
              <w:pStyle w:val="Compact"/>
              <w:jc w:val="left"/>
            </w:pPr>
            <w:r>
              <w:rPr>
                <w:bCs/>
                <w:b/>
              </w:rPr>
              <w:t xml:space="preserve">Données transférées</w:t>
            </w:r>
          </w:p>
        </w:tc>
        <w:tc>
          <w:tcPr/>
          <w:p>
            <w:pPr>
              <w:pStyle w:val="Compact"/>
              <w:jc w:val="left"/>
            </w:pPr>
            <w:r>
              <w:rPr>
                <w:bCs/>
                <w:b/>
              </w:rPr>
              <w:t xml:space="preserve">Mécanisme de transfert</w:t>
            </w:r>
          </w:p>
        </w:tc>
      </w:tr>
      <w:tr>
        <w:tc>
          <w:tcPr/>
          <w:p>
            <w:pPr>
              <w:pStyle w:val="Compact"/>
              <w:jc w:val="left"/>
            </w:pPr>
            <w:r>
              <w:t xml:space="preserve">Anthropic, PBC</w:t>
            </w:r>
          </w:p>
        </w:tc>
        <w:tc>
          <w:tcPr/>
          <w:p>
            <w:pPr>
              <w:pStyle w:val="Compact"/>
              <w:jc w:val="left"/>
            </w:pPr>
            <w:r>
              <w:t xml:space="preserve">États-Unis (USA)</w:t>
            </w:r>
          </w:p>
        </w:tc>
        <w:tc>
          <w:tcPr/>
          <w:p>
            <w:pPr>
              <w:pStyle w:val="Compact"/>
              <w:jc w:val="left"/>
            </w:pPr>
            <w:r>
              <w:t xml:space="preserve">Prompts utilisateur (sans donnée comptable).</w:t>
            </w:r>
          </w:p>
        </w:tc>
        <w:tc>
          <w:tcPr/>
          <w:p>
            <w:pPr>
              <w:pStyle w:val="Compact"/>
              <w:jc w:val="left"/>
            </w:pPr>
            <w:r>
              <w:rPr>
                <w:bCs/>
                <w:b/>
              </w:rPr>
              <w:t xml:space="preserve">Clauses Contractuelles Types (CCT/SCC)</w:t>
            </w:r>
            <w:r>
              <w:t xml:space="preserve">, Module 2, art. 46.2.c RGPD (Anthropic n’est pas certifié DPF).</w:t>
            </w:r>
          </w:p>
        </w:tc>
      </w:tr>
      <w:tr>
        <w:tc>
          <w:tcPr/>
          <w:p>
            <w:pPr>
              <w:pStyle w:val="Compact"/>
              <w:jc w:val="left"/>
            </w:pPr>
            <w:r>
              <w:t xml:space="preserve">OpenAI</w:t>
            </w:r>
          </w:p>
        </w:tc>
        <w:tc>
          <w:tcPr/>
          <w:p>
            <w:pPr>
              <w:pStyle w:val="Compact"/>
              <w:jc w:val="left"/>
            </w:pPr>
            <w:r>
              <w:t xml:space="preserve">États-Unis (USA)</w:t>
            </w:r>
          </w:p>
        </w:tc>
        <w:tc>
          <w:tcPr/>
          <w:p>
            <w:pPr>
              <w:pStyle w:val="Compact"/>
              <w:jc w:val="left"/>
            </w:pPr>
            <w:r>
              <w:t xml:space="preserve">Prompts utilisateur.</w:t>
            </w:r>
          </w:p>
        </w:tc>
        <w:tc>
          <w:tcPr/>
          <w:p>
            <w:pPr>
              <w:pStyle w:val="Compact"/>
              <w:jc w:val="left"/>
            </w:pPr>
            <w:r>
              <w:t xml:space="preserve">-</w:t>
            </w:r>
            <w:r>
              <w:t xml:space="preserve"> </w:t>
            </w:r>
            <w:r>
              <w:rPr>
                <w:bCs/>
                <w:b/>
              </w:rPr>
              <w:t xml:space="preserve">EU-US Data Privacy Framework (DPF)</w:t>
            </w:r>
            <w:r>
              <w:t xml:space="preserve"> </w:t>
            </w:r>
            <w:r>
              <w:t xml:space="preserve">(art. 45 RGPD).</w:t>
            </w:r>
            <w:r>
              <w:t xml:space="preserve">-</w:t>
            </w:r>
            <w:r>
              <w:t xml:space="preserve"> </w:t>
            </w:r>
            <w:r>
              <w:rPr>
                <w:bCs/>
                <w:b/>
              </w:rPr>
              <w:t xml:space="preserve">CCT</w:t>
            </w:r>
            <w:r>
              <w:t xml:space="preserve"> </w:t>
            </w:r>
            <w:r>
              <w:t xml:space="preserve">(art. 46.2.c RGPD) en cas de non-application du DPF.</w:t>
            </w:r>
          </w:p>
        </w:tc>
      </w:tr>
      <w:tr>
        <w:tc>
          <w:tcPr/>
          <w:p>
            <w:pPr>
              <w:pStyle w:val="Compact"/>
              <w:jc w:val="left"/>
            </w:pPr>
            <w:r>
              <w:t xml:space="preserve">Scaleway TEM / Resend (fallback)</w:t>
            </w:r>
          </w:p>
        </w:tc>
        <w:tc>
          <w:tcPr/>
          <w:p>
            <w:pPr>
              <w:pStyle w:val="Compact"/>
              <w:jc w:val="left"/>
            </w:pPr>
            <w:r>
              <w:t xml:space="preserve">États-Unis (USA)</w:t>
            </w:r>
          </w:p>
        </w:tc>
        <w:tc>
          <w:tcPr/>
          <w:p>
            <w:pPr>
              <w:pStyle w:val="Compact"/>
              <w:jc w:val="left"/>
            </w:pPr>
            <w:r>
              <w:t xml:space="preserve">Adresses email et métadonnées (IP, horodatage).</w:t>
            </w:r>
          </w:p>
        </w:tc>
        <w:tc>
          <w:tcPr/>
          <w:p>
            <w:pPr>
              <w:pStyle w:val="Compact"/>
              <w:jc w:val="left"/>
            </w:pPr>
            <w:r>
              <w:t xml:space="preserve">-</w:t>
            </w:r>
            <w:r>
              <w:t xml:space="preserve"> </w:t>
            </w:r>
            <w:r>
              <w:rPr>
                <w:bCs/>
                <w:b/>
              </w:rPr>
              <w:t xml:space="preserve">EU-US Data Privacy Framework (DPF)</w:t>
            </w:r>
            <w:r>
              <w:t xml:space="preserve"> </w:t>
            </w:r>
            <w:r>
              <w:t xml:space="preserve">(art. 45 RGPD).</w:t>
            </w:r>
            <w:r>
              <w:t xml:space="preserve">-</w:t>
            </w:r>
            <w:r>
              <w:t xml:space="preserve"> </w:t>
            </w:r>
            <w:r>
              <w:rPr>
                <w:bCs/>
                <w:b/>
              </w:rPr>
              <w:t xml:space="preserve">CCT</w:t>
            </w:r>
            <w:r>
              <w:t xml:space="preserve"> </w:t>
            </w:r>
            <w:r>
              <w:t xml:space="preserve">(art. 46.2.c RGPD) en cas de non-application du DPF.</w:t>
            </w:r>
          </w:p>
        </w:tc>
      </w:tr>
    </w:tbl>
    <w:p>
      <w:pPr>
        <w:pStyle w:val="BodyText"/>
      </w:pPr>
      <w:r>
        <w:rPr>
          <w:bCs/>
          <w:b/>
        </w:rPr>
        <w:t xml:space="preserve">Aucune donnée comptable brute n’est transférée vers des pays tiers</w:t>
      </w:r>
      <w:r>
        <w:t xml:space="preserve"> </w:t>
      </w:r>
      <w:r>
        <w:t xml:space="preserve">: les prompts envoyés aux LLM (Anthropic, OpenAI) sont</w:t>
      </w:r>
      <w:r>
        <w:t xml:space="preserve"> </w:t>
      </w:r>
      <w:r>
        <w:rPr>
          <w:bCs/>
          <w:b/>
        </w:rPr>
        <w:t xml:space="preserve">dépourvus de secrets, de données financières ou de toute information permettant une réidentification</w:t>
      </w:r>
      <w:r>
        <w:t xml:space="preserve">. Les données comptables restent hébergées dans l’Union européenne (UE) et sont uniquement accessibles via l’API de Pennylane (sous-traitant du cabinet).</w:t>
      </w:r>
    </w:p>
    <w:bookmarkEnd w:id="54"/>
    <w:bookmarkStart w:id="55" w:name="mécanismes-de-transfert-mobilisés"/>
    <w:p>
      <w:pPr>
        <w:pStyle w:val="Heading3"/>
      </w:pPr>
      <w:r>
        <w:t xml:space="preserve">2.</w:t>
      </w:r>
      <w:r>
        <w:t xml:space="preserve"> </w:t>
      </w:r>
      <w:r>
        <w:rPr>
          <w:bCs/>
          <w:b/>
        </w:rPr>
        <w:t xml:space="preserve">Mécanismes de transfert mobilisés</w:t>
      </w:r>
    </w:p>
    <w:p>
      <w:pPr>
        <w:numPr>
          <w:ilvl w:val="0"/>
          <w:numId w:val="1003"/>
        </w:numPr>
        <w:pStyle w:val="Compact"/>
      </w:pPr>
      <w:r>
        <w:rPr>
          <w:bCs/>
          <w:b/>
        </w:rPr>
        <w:t xml:space="preserve">- Pennylane (UE) : accès en lecture aux données comptables via API. - Anthropic, PBC (USA) : traitement des prompts selon le canal choisi. - OpenAI (USA) : traitement des prompts optionnel. - Mistral AI (UE) : option souveraine. - Scaleway TEM (France/UE, primaire) et Resend (USA, fallback) : emails transactionnels. - Hébergeur infrastructure HOLCO (UE) : stockage des tokens chiffrés et logs techniques.</w:t>
      </w:r>
      <w:r>
        <w:t xml:space="preserve"/>
      </w:r>
      <w:r>
        <w:t xml:space="preserve"/>
      </w:r>
      <w:r>
        <w:t xml:space="preserve"/>
      </w:r>
      <w:r>
        <w:rPr>
          <w:bCs/>
          <w:b/>
        </w:rPr>
        <w:t xml:space="preserve"/>
      </w:r>
      <w:r>
        <w:t xml:space="preserve"/>
      </w:r>
    </w:p>
    <w:p>
      <w:pPr>
        <w:numPr>
          <w:ilvl w:val="0"/>
          <w:numId w:val="1003"/>
        </w:numPr>
        <w:pStyle w:val="Compact"/>
      </w:pPr>
      <w:r>
        <w:rPr>
          <w:bCs/>
          <w:b/>
        </w:rPr>
        <w:t xml:space="preserve">Clauses Contractuelles Types (CCT)</w:t>
      </w:r>
      <w:r>
        <w:t xml:space="preserve"> </w:t>
      </w:r>
      <w:r>
        <w:t xml:space="preserve">: À défaut d’application du DPF, HOLCO intègre les</w:t>
      </w:r>
      <w:r>
        <w:t xml:space="preserve"> </w:t>
      </w:r>
      <w:r>
        <w:rPr>
          <w:bCs/>
          <w:b/>
        </w:rPr>
        <w:t xml:space="preserve">CCT adoptées par la Commission européenne</w:t>
      </w:r>
      <w:r>
        <w:t xml:space="preserve"> </w:t>
      </w:r>
      <w:r>
        <w:t xml:space="preserve">(décision 2021/914/UE, art. 46.2.c RGPD) dans ses contrats avec les sous-traitants concernés. Ces CCT sont complétées par des</w:t>
      </w:r>
      <w:r>
        <w:t xml:space="preserve"> </w:t>
      </w:r>
      <w:r>
        <w:rPr>
          <w:bCs/>
          <w:b/>
        </w:rPr>
        <w:t xml:space="preserve">mesures supplémentaires</w:t>
      </w:r>
      <w:r>
        <w:t xml:space="preserve"> </w:t>
      </w:r>
      <w:r>
        <w:t xml:space="preserve">(cf. §3).</w:t>
      </w:r>
    </w:p>
    <w:p>
      <w:pPr>
        <w:numPr>
          <w:ilvl w:val="0"/>
          <w:numId w:val="1003"/>
        </w:numPr>
        <w:pStyle w:val="Compact"/>
      </w:pPr>
      <w:r>
        <w:rPr>
          <w:bCs/>
          <w:b/>
        </w:rPr>
        <w:t xml:space="preserve">- Pays tiers concernés : États-Unis pour certains fournisseurs LLM (Anthropic, OpenAI selon le canal choisi) et Resend en fallback email. - Garanties : CCT/SCC, DPF lorsque applicable, DPA fournisseurs, minimisation des prompts, chiffrement en transit, absence de secrets Pennylane dans les prompts, option de cantonnement UE via Mistral AI lorsque retenue par le cabinet.</w:t>
      </w:r>
      <w:r>
        <w:t xml:space="preserve"/>
      </w:r>
      <w:r>
        <w:t xml:space="preserve"/>
      </w:r>
      <w:r>
        <w:t xml:space="preserve"/>
      </w:r>
      <w:r>
        <w:rPr>
          <w:bCs/>
          <w:b/>
        </w:rPr>
        <w:t xml:space="preserve"/>
      </w:r>
      <w:r>
        <w:t xml:space="preserve"/>
      </w:r>
      <w:r>
        <w:t xml:space="preserve"/>
      </w:r>
      <w:r>
        <w:rPr>
          <w:bCs/>
          <w:b/>
        </w:rPr>
        <w:t xml:space="preserve"/>
      </w:r>
      <w:r>
        <w:t xml:space="preserve"/>
      </w:r>
    </w:p>
    <w:bookmarkEnd w:id="55"/>
    <w:bookmarkStart w:id="56" w:name="mesures-supplémentaires-de-protection"/>
    <w:p>
      <w:pPr>
        <w:pStyle w:val="Heading3"/>
      </w:pPr>
      <w:r>
        <w:t xml:space="preserve">3.</w:t>
      </w:r>
      <w:r>
        <w:t xml:space="preserve"> </w:t>
      </w:r>
      <w:r>
        <w:rPr>
          <w:bCs/>
          <w:b/>
        </w:rPr>
        <w:t xml:space="preserve">Mesures supplémentaires de protection</w:t>
      </w:r>
    </w:p>
    <w:p>
      <w:pPr>
        <w:pStyle w:val="FirstParagraph"/>
      </w:pPr>
      <w:r>
        <w:t xml:space="preserve">- Données comptables : non conservées par HOLCO (transit uniquement) ; conservées par le Cabinet selon ses obligations propres. - Prompts utilisateur : traités selon les conditions commerciales/DPA du fournisseur LLM choisi ; HOLCO minimise les prompts et n’y transmet pas de secrets Pennylane. - usage_logs HOLCO : 13 mois glissants, puis suppression automatique. - Comptes utilisateurs HOLCO : 3 ans après résiliation. - Emails transactionnels : Scaleway TEM en principal ; Resend en fallback, métadonnées conservées selon la politique du prestataire.</w:t>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rPr>
          <w:bCs/>
          <w:b/>
        </w:rP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p>
    <w:bookmarkEnd w:id="56"/>
    <w:bookmarkStart w:id="57" w:name="droit-daudit-et-transparence"/>
    <w:p>
      <w:pPr>
        <w:pStyle w:val="Heading3"/>
      </w:pPr>
      <w:r>
        <w:t xml:space="preserve">4.</w:t>
      </w:r>
      <w:r>
        <w:t xml:space="preserve"> </w:t>
      </w:r>
      <w:r>
        <w:rPr>
          <w:bCs/>
          <w:b/>
        </w:rPr>
        <w:t xml:space="preserve">Droit d’audit et transparence</w:t>
      </w:r>
    </w:p>
    <w:p>
      <w:pPr>
        <w:pStyle w:val="FirstParagraph"/>
      </w:pPr>
      <w:r>
        <w:t xml:space="preserve">[CABINET] dispose d’un droit d’audit sur les mesures de protection mises en œuvre par HOLCO et ses sous-traitants, conformément à l’article 28.3.h du RGPD. HOLCO s’engage à fournir, sur demande, les éléments suivants :</w:t>
      </w:r>
      <w:r>
        <w:t xml:space="preserve"> </w:t>
      </w:r>
      <w:r>
        <w:t xml:space="preserve">- Preuves de l’adhésion des sous-traitants au</w:t>
      </w:r>
      <w:r>
        <w:t xml:space="preserve"> </w:t>
      </w:r>
      <w:r>
        <w:rPr>
          <w:bCs/>
          <w:b/>
        </w:rPr>
        <w:t xml:space="preserve">EU-US Data Privacy Framework (DPF)</w:t>
      </w:r>
      <w:r>
        <w:t xml:space="preserve">.</w:t>
      </w:r>
      <w:r>
        <w:t xml:space="preserve"> </w:t>
      </w:r>
      <w:r>
        <w:t xml:space="preserve">- Copies des</w:t>
      </w:r>
      <w:r>
        <w:t xml:space="preserve"> </w:t>
      </w:r>
      <w:r>
        <w:rPr>
          <w:bCs/>
          <w:b/>
        </w:rPr>
        <w:t xml:space="preserve">Clauses Contractuelles Types (CCT)</w:t>
      </w:r>
      <w:r>
        <w:t xml:space="preserve"> </w:t>
      </w:r>
      <w:r>
        <w:t xml:space="preserve">signées avec les sous-traitants concernés.</w:t>
      </w:r>
      <w:r>
        <w:t xml:space="preserve"> </w:t>
      </w:r>
      <w:r>
        <w:t xml:space="preserve">- Documentation technique attestant des</w:t>
      </w:r>
      <w:r>
        <w:t xml:space="preserve"> </w:t>
      </w:r>
      <w:r>
        <w:rPr>
          <w:bCs/>
          <w:b/>
        </w:rPr>
        <w:t xml:space="preserve">mesures de chiffrement</w:t>
      </w:r>
      <w:r>
        <w:t xml:space="preserve"> </w:t>
      </w:r>
      <w:r>
        <w:t xml:space="preserve">et de</w:t>
      </w:r>
      <w:r>
        <w:t xml:space="preserve"> </w:t>
      </w:r>
      <w:r>
        <w:rPr>
          <w:bCs/>
          <w:b/>
        </w:rPr>
        <w:t xml:space="preserve">minimisation des données</w:t>
      </w:r>
      <w:r>
        <w:t xml:space="preserve">.</w:t>
      </w:r>
    </w:p>
    <w:p>
      <w:r>
        <w:pict>
          <ns1:rect style="width:0;height:1.5pt" ns2:hralign="center" ns2:hrstd="t" ns2:hr="t"/>
        </w:pict>
      </w:r>
    </w:p>
    <w:bookmarkEnd w:id="57"/>
    <w:bookmarkEnd w:id="58"/>
    <w:bookmarkStart w:id="59" w:name="Xb2fcaf49097c08a3d1381e571df83fbc3833440"/>
    <w:p>
      <w:pPr>
        <w:pStyle w:val="Heading1"/>
      </w:pPr>
      <w:r>
        <w:t xml:space="preserve">EXTRAIT DU REGISTRE DES ACTIVITÉS DE TRAITEMENT</w:t>
      </w:r>
    </w:p>
    <w:p>
      <w:pPr>
        <w:pStyle w:val="FirstParagraph"/>
      </w:pPr>
      <w:r>
        <w:rPr>
          <w:iCs/>
          <w:i/>
        </w:rPr>
        <w:t xml:space="preserve">(À intégrer au registre du Responsable de traitement – Article 30 du RGPD)</w:t>
      </w:r>
    </w:p>
    <w:tbl>
      <w:tblPr>
        <w:tblStyle w:val="Table"/>
        <w:tblW w:type="pct" w:w="5000"/>
        <w:tblLook w:firstRow="1" w:lastRow="0" w:firstColumn="0" w:lastColumn="0" w:noHBand="0" w:noVBand="0" w:val="0020"/>
        <w:jc w:val="start"/>
      </w:tblPr>
      <w:tblGrid>
        <w:gridCol w:w="1210"/>
        <w:gridCol w:w="6709"/>
      </w:tblGrid>
      <w:tr>
        <w:trPr>
          <w:tblHeader w:val="true"/>
        </w:trPr>
        <w:tc>
          <w:tcPr/>
          <w:p>
            <w:pPr>
              <w:pStyle w:val="Compact"/>
              <w:jc w:val="left"/>
            </w:pPr>
            <w:r>
              <w:rPr>
                <w:bCs/>
                <w:b/>
              </w:rPr>
              <w:t xml:space="preserve">Champ</w:t>
            </w:r>
          </w:p>
        </w:tc>
        <w:tc>
          <w:tcPr/>
          <w:p>
            <w:pPr>
              <w:pStyle w:val="Compact"/>
              <w:jc w:val="left"/>
            </w:pPr>
            <w:r>
              <w:rPr>
                <w:bCs/>
                <w:b/>
              </w:rPr>
              <w:t xml:space="preserve">Détails</w:t>
            </w:r>
          </w:p>
        </w:tc>
      </w:tr>
      <w:tr>
        <w:tc>
          <w:tcPr/>
          <w:p>
            <w:pPr>
              <w:pStyle w:val="Compact"/>
              <w:jc w:val="left"/>
            </w:pPr>
            <w:r>
              <w:rPr>
                <w:bCs/>
                <w:b/>
              </w:rPr>
              <w:t xml:space="preserve">Responsable de traitement</w:t>
            </w:r>
          </w:p>
        </w:tc>
        <w:tc>
          <w:tcPr/>
          <w:p>
            <w:pPr>
              <w:pStyle w:val="Compact"/>
              <w:jc w:val="left"/>
            </w:pPr>
            <w:r>
              <w:t xml:space="preserve">[NOM DU CABINET] – [ADRESSE] – [SIRET] – [DPO/Contact RGPD : NOM, EMAIL, TÉLÉPHONE]</w:t>
            </w:r>
          </w:p>
        </w:tc>
      </w:tr>
      <w:tr>
        <w:tc>
          <w:tcPr/>
          <w:p>
            <w:pPr>
              <w:pStyle w:val="Compact"/>
              <w:jc w:val="left"/>
            </w:pPr>
            <w:r>
              <w:rPr>
                <w:bCs/>
                <w:b/>
              </w:rPr>
              <w:t xml:space="preserve">Sous-traitant</w:t>
            </w:r>
          </w:p>
        </w:tc>
        <w:tc>
          <w:tcPr/>
          <w:p>
            <w:pPr>
              <w:pStyle w:val="Compact"/>
              <w:jc w:val="left"/>
            </w:pPr>
            <w:r>
              <w:t xml:space="preserve">HOLCO INVEST (SIREN 819 582 453) – 64 rue du Mont Cenis, 75018 Paris – Contact RGPD : privacy@holco.co</w:t>
            </w:r>
          </w:p>
        </w:tc>
      </w:tr>
      <w:tr>
        <w:tc>
          <w:tcPr/>
          <w:p>
            <w:pPr>
              <w:pStyle w:val="Compact"/>
              <w:jc w:val="left"/>
            </w:pPr>
            <w:r>
              <w:rPr>
                <w:bCs/>
                <w:b/>
              </w:rPr>
              <w:t xml:space="preserve">Finalités du traitement</w:t>
            </w:r>
          </w:p>
        </w:tc>
        <w:tc>
          <w:tcPr/>
          <w:p>
            <w:pPr>
              <w:pStyle w:val="Compact"/>
              <w:jc w:val="left"/>
            </w:pPr>
            <w:r>
              <w:t xml:space="preserve">- Analyse comptable assistée par intelligence artificielle (IA) en</w:t>
            </w:r>
            <w:r>
              <w:t xml:space="preserve"> </w:t>
            </w:r>
            <w:r>
              <w:rPr>
                <w:bCs/>
                <w:b/>
              </w:rPr>
              <w:t xml:space="preserve">lecture seule</w:t>
            </w:r>
            <w:r>
              <w:t xml:space="preserve"> </w:t>
            </w:r>
            <w:r>
              <w:t xml:space="preserve">pour la détection d’anomalies, la classification automatique des écritures, et la génération de rapports.</w:t>
            </w:r>
            <w:r>
              <w:t xml:space="preserve">- Optimisation des processus comptables via des suggestions basées sur l’IA.</w:t>
            </w:r>
            <w:r>
              <w:t xml:space="preserve">-</w:t>
            </w:r>
            <w:r>
              <w:t xml:space="preserve"> </w:t>
            </w:r>
            <w:r>
              <w:rPr>
                <w:bCs/>
                <w:b/>
              </w:rPr>
              <w:t xml:space="preserve">Exclusion</w:t>
            </w:r>
            <w:r>
              <w:t xml:space="preserve"> </w:t>
            </w:r>
            <w:r>
              <w:t xml:space="preserve">: Aucune prise de décision automatisée au sens de l’article 22 du RGPD.</w:t>
            </w:r>
          </w:p>
        </w:tc>
      </w:tr>
      <w:tr>
        <w:tc>
          <w:tcPr/>
          <w:p>
            <w:pPr>
              <w:pStyle w:val="Compact"/>
              <w:jc w:val="left"/>
            </w:pPr>
            <w:r>
              <w:rPr>
                <w:bCs/>
                <w:b/>
              </w:rPr>
              <w:t xml:space="preserve">Catégories de personnes concernées</w:t>
            </w:r>
          </w:p>
        </w:tc>
        <w:tc>
          <w:tcPr/>
          <w:p>
            <w:pPr>
              <w:pStyle w:val="Compact"/>
              <w:jc w:val="left"/>
            </w:pPr>
            <w:r>
              <w:t xml:space="preserve">- Clients du cabinet (personnes morales et physiques).</w:t>
            </w:r>
            <w:r>
              <w:t xml:space="preserve">- Collaborateurs du cabinet autorisés à utiliser l’outil.</w:t>
            </w:r>
          </w:p>
        </w:tc>
      </w:tr>
      <w:tr>
        <w:tc>
          <w:tcPr/>
          <w:p>
            <w:pPr>
              <w:pStyle w:val="Compact"/>
              <w:jc w:val="left"/>
            </w:pPr>
            <w:r>
              <w:rPr>
                <w:bCs/>
                <w:b/>
              </w:rPr>
              <w:t xml:space="preserve">Catégories de données personnelles</w:t>
            </w:r>
          </w:p>
        </w:tc>
        <w:tc>
          <w:tcPr/>
          <w:p>
            <w:pPr>
              <w:pStyle w:val="Compact"/>
              <w:jc w:val="left"/>
            </w:pPr>
            <w:r>
              <w:t xml:space="preserve">-</w:t>
            </w:r>
            <w:r>
              <w:t xml:space="preserve"> </w:t>
            </w:r>
            <w:r>
              <w:rPr>
                <w:bCs/>
                <w:b/>
              </w:rPr>
              <w:t xml:space="preserve">Données comptables</w:t>
            </w:r>
            <w:r>
              <w:t xml:space="preserve"> </w:t>
            </w:r>
            <w:r>
              <w:t xml:space="preserve">: Écritures comptables, balances, grands livres, factures (numéros, montants, dates, tiers).</w:t>
            </w:r>
            <w:r>
              <w:t xml:space="preserve">-</w:t>
            </w:r>
            <w:r>
              <w:t xml:space="preserve"> </w:t>
            </w:r>
            <w:r>
              <w:rPr>
                <w:bCs/>
                <w:b/>
              </w:rPr>
              <w:t xml:space="preserve">Données techniques</w:t>
            </w:r>
            <w:r>
              <w:t xml:space="preserve"> </w:t>
            </w:r>
            <w:r>
              <w:t xml:space="preserve">: Logs d’utilisation (anonymisés), adresses IP (transitoires).</w:t>
            </w:r>
            <w:r>
              <w:t xml:space="preserve">-</w:t>
            </w:r>
            <w:r>
              <w:t xml:space="preserve"> </w:t>
            </w:r>
            <w:r>
              <w:rPr>
                <w:bCs/>
                <w:b/>
              </w:rPr>
              <w:t xml:space="preserve">Données de contact</w:t>
            </w:r>
            <w:r>
              <w:t xml:space="preserve"> </w:t>
            </w:r>
            <w:r>
              <w:t xml:space="preserve">: Adresses email des utilisateurs (pour notifications transactionnelles).</w:t>
            </w:r>
            <w:r>
              <w:t xml:space="preserve">-</w:t>
            </w:r>
            <w:r>
              <w:t xml:space="preserve"> </w:t>
            </w:r>
            <w:r>
              <w:rPr>
                <w:bCs/>
                <w:b/>
              </w:rPr>
              <w:t xml:space="preserve">Exclusion</w:t>
            </w:r>
            <w:r>
              <w:t xml:space="preserve"> </w:t>
            </w:r>
            <w:r>
              <w:t xml:space="preserve">: Aucune donnée de santé, biométrique, ou relative à des condamnations pénales.</w:t>
            </w:r>
          </w:p>
        </w:tc>
      </w:tr>
      <w:tr>
        <w:tc>
          <w:tcPr/>
          <w:p>
            <w:pPr>
              <w:pStyle w:val="Compact"/>
              <w:jc w:val="left"/>
            </w:pPr>
            <w:r>
              <w:rPr>
                <w:bCs/>
                <w:b/>
              </w:rPr>
              <w:t xml:space="preserve">Destinataires / Sous-traitants ultérieurs</w:t>
            </w:r>
          </w:p>
        </w:tc>
        <w:tc>
          <w:tcPr/>
          <w:p>
            <w:pPr>
              <w:pStyle w:val="Compact"/>
              <w:jc w:val="left"/>
            </w:pPr>
            <w:r>
              <w:t xml:space="preserve">- Pennylane (UE) : accès en lecture aux données comptables via API. - Anthropic, PBC (USA) : traitement des prompts selon le canal choisi. - OpenAI (USA) : traitement des prompts optionnel. - Mistral AI (UE) : option souveraine. - Scaleway TEM (France/UE, primaire) et Resend (USA, fallback) : emails transactionnels. - Hébergeur infrastructure HOLCO (UE) : stockage des tokens chiffrés et logs techniques.</w:t>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p>
        </w:tc>
      </w:tr>
      <w:tr>
        <w:tc>
          <w:tcPr/>
          <w:p>
            <w:pPr>
              <w:pStyle w:val="Compact"/>
              <w:jc w:val="left"/>
            </w:pPr>
            <w:r>
              <w:rPr>
                <w:bCs/>
                <w:b/>
              </w:rPr>
              <w:t xml:space="preserve">Transferts hors Union européenne</w:t>
            </w:r>
          </w:p>
        </w:tc>
        <w:tc>
          <w:tcPr/>
          <w:p>
            <w:pPr>
              <w:pStyle w:val="Compact"/>
              <w:jc w:val="left"/>
            </w:pPr>
            <w:r>
              <w:t xml:space="preserve">- Pays tiers concernés : États-Unis pour certains fournisseurs LLM (Anthropic, OpenAI selon le canal choisi) et Resend en fallback email. - Garanties : CCT/SCC, DPF lorsque applicable, DPA fournisseurs, minimisation des prompts, chiffrement en transit, absence de secrets Pennylane dans les prompts, option de cantonnement UE via Mistral AI lorsque retenue par le cabinet.</w:t>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rPr>
                <w:bCs/>
                <w:b/>
              </w:rPr>
              <w:t xml:space="preserve"/>
            </w:r>
            <w:r>
              <w:t xml:space="preserve"/>
            </w:r>
            <w:r>
              <w:t xml:space="preserve"/>
            </w:r>
          </w:p>
        </w:tc>
      </w:tr>
      <w:tr>
        <w:tc>
          <w:tcPr/>
          <w:p>
            <w:pPr>
              <w:pStyle w:val="Compact"/>
              <w:jc w:val="left"/>
            </w:pPr>
            <w:r>
              <w:rPr>
                <w:bCs/>
                <w:b/>
              </w:rPr>
              <w:t xml:space="preserve">Durées de conservation</w:t>
            </w:r>
          </w:p>
        </w:tc>
        <w:tc>
          <w:tcPr/>
          <w:p>
            <w:pPr>
              <w:pStyle w:val="Compact"/>
              <w:jc w:val="left"/>
            </w:pPr>
            <w:r>
              <w:t xml:space="preserve">- Données comptables : non conservées par HOLCO (transit uniquement) ; conservées par le Cabinet selon ses obligations propres. - Prompts utilisateur : traités selon les conditions commerciales/DPA du fournisseur LLM choisi ; HOLCO minimise les prompts et n’y transmet pas de secrets Pennylane. - usage_logs HOLCO : 13 mois glissants, puis suppression automatique. - Comptes utilisateurs HOLCO : 3 ans après résiliation. - Emails transactionnels : Scaleway TEM en principal ; Resend en fallback, métadonnées conservées selon la politique du prestataire.</w:t>
            </w:r>
            <w:r>
              <w:t xml:space="preserve"/>
            </w:r>
            <w:r>
              <w:rPr>
                <w:bCs/>
                <w:b/>
              </w:rP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rPr>
                <w:bCs/>
                <w:b/>
              </w:rPr>
              <w:t xml:space="preserve"/>
            </w:r>
            <w:r>
              <w:t xml:space="preserve"/>
            </w:r>
            <w:r>
              <w:t xml:space="preserve"/>
            </w:r>
            <w:r>
              <w:t xml:space="preserve"/>
            </w:r>
            <w:r>
              <w:t xml:space="preserve"/>
            </w:r>
            <w:r>
              <w:rPr>
                <w:bCs/>
                <w:b/>
              </w:rPr>
              <w:t xml:space="preserve"/>
            </w:r>
            <w:r>
              <w:t xml:space="preserve"/>
            </w:r>
            <w:r>
              <w:t xml:space="preserve"/>
            </w:r>
            <w:r>
              <w:t xml:space="preserve"/>
            </w:r>
            <w:r>
              <w:rPr>
                <w:bCs/>
                <w:b/>
              </w:rPr>
              <w:t xml:space="preserve"/>
            </w:r>
            <w:r>
              <w:t xml:space="preserve"/>
            </w:r>
            <w:r>
              <w:t xml:space="preserve"/>
            </w:r>
          </w:p>
        </w:tc>
      </w:tr>
      <w:tr>
        <w:tc>
          <w:tcPr/>
          <w:p>
            <w:pPr>
              <w:pStyle w:val="Compact"/>
              <w:jc w:val="left"/>
            </w:pPr>
            <w:r>
              <w:rPr>
                <w:bCs/>
                <w:b/>
              </w:rPr>
              <w:t xml:space="preserve">Mesures de sécurité</w:t>
            </w:r>
          </w:p>
        </w:tc>
        <w:tc>
          <w:tcPr/>
          <w:p>
            <w:pPr>
              <w:pStyle w:val="Compact"/>
              <w:jc w:val="left"/>
            </w:pPr>
            <w:r>
              <w:t xml:space="preserve">-</w:t>
            </w:r>
            <w:r>
              <w:t xml:space="preserve"> </w:t>
            </w:r>
            <w:r>
              <w:rPr>
                <w:bCs/>
                <w:b/>
              </w:rPr>
              <w:t xml:space="preserve">Architecture</w:t>
            </w:r>
            <w:r>
              <w:t xml:space="preserve"> </w:t>
            </w:r>
            <w:r>
              <w:t xml:space="preserve">: lecture seule (garde applicative GET/HEAD), aucune copie durable des données comptables (transit seulement),</w:t>
            </w:r>
            <w:r>
              <w:t xml:space="preserve"> </w:t>
            </w:r>
            <w:r>
              <w:rPr>
                <w:bCs/>
                <w:b/>
              </w:rPr>
              <w:t xml:space="preserve">principe du moindre privilège</w:t>
            </w:r>
            <w:r>
              <w:t xml:space="preserve">.</w:t>
            </w:r>
            <w:r>
              <w:t xml:space="preserve">-</w:t>
            </w:r>
            <w:r>
              <w:t xml:space="preserve"> </w:t>
            </w:r>
            <w:r>
              <w:rPr>
                <w:bCs/>
                <w:b/>
              </w:rPr>
              <w:t xml:space="preserve">Chiffrement</w:t>
            </w:r>
            <w:r>
              <w:t xml:space="preserve"> </w:t>
            </w:r>
            <w:r>
              <w:t xml:space="preserve">:</w:t>
            </w:r>
            <w:r>
              <w:t xml:space="preserve"> </w:t>
            </w:r>
            <w:r>
              <w:t xml:space="preserve">- En transit :</w:t>
            </w:r>
            <w:r>
              <w:t xml:space="preserve"> </w:t>
            </w:r>
            <w:r>
              <w:rPr>
                <w:bCs/>
                <w:b/>
              </w:rPr>
              <w:t xml:space="preserve">TLS 1.3</w:t>
            </w:r>
            <w:r>
              <w:t xml:space="preserve">.</w:t>
            </w:r>
            <w:r>
              <w:t xml:space="preserve"> </w:t>
            </w:r>
            <w:r>
              <w:t xml:space="preserve">- Au repos :</w:t>
            </w:r>
            <w:r>
              <w:t xml:space="preserve"> </w:t>
            </w:r>
            <w:r>
              <w:rPr>
                <w:bCs/>
                <w:b/>
              </w:rPr>
              <w:t xml:space="preserve">AES-256-GCM</w:t>
            </w:r>
            <w:r>
              <w:t xml:space="preserve"> </w:t>
            </w:r>
            <w:r>
              <w:t xml:space="preserve">pour le token Pennylane ; clé PennyPilot et tokens OAuth</w:t>
            </w:r>
            <w:r>
              <w:t xml:space="preserve"> </w:t>
            </w:r>
            <w:r>
              <w:rPr>
                <w:bCs/>
                <w:b/>
              </w:rPr>
              <w:t xml:space="preserve">hachés SHA-256</w:t>
            </w:r>
            <w:r>
              <w:t xml:space="preserve">.</w:t>
            </w:r>
            <w:r>
              <w:t xml:space="preserve">-</w:t>
            </w:r>
            <w:r>
              <w:t xml:space="preserve"> </w:t>
            </w:r>
            <w:r>
              <w:rPr>
                <w:bCs/>
                <w:b/>
              </w:rPr>
              <w:t xml:space="preserve">Authentification</w:t>
            </w:r>
            <w:r>
              <w:t xml:space="preserve"> </w:t>
            </w:r>
            <w:r>
              <w:t xml:space="preserve">: secret nominatif par utilisateur, révocable.</w:t>
            </w:r>
            <w:r>
              <w:t xml:space="preserve">-</w:t>
            </w:r>
            <w:r>
              <w:t xml:space="preserve"> </w:t>
            </w:r>
            <w:r>
              <w:rPr>
                <w:bCs/>
                <w:b/>
              </w:rPr>
              <w:t xml:space="preserve">Minimisation</w:t>
            </w:r>
            <w:r>
              <w:t xml:space="preserve"> </w:t>
            </w:r>
            <w:r>
              <w:t xml:space="preserve">: usage_logs sans contenu de prompt ni donnée comptable ; aucune donnée comptable persistée chez les LLM.</w:t>
            </w:r>
            <w:r>
              <w:t xml:space="preserve">-</w:t>
            </w:r>
            <w:r>
              <w:t xml:space="preserve"> </w:t>
            </w:r>
            <w:r>
              <w:rPr>
                <w:bCs/>
                <w:b/>
              </w:rPr>
              <w:t xml:space="preserve">Résilience</w:t>
            </w:r>
            <w:r>
              <w:t xml:space="preserve"> </w:t>
            </w:r>
            <w:r>
              <w:t xml:space="preserve">: rate limiting, sauvegardes (rotation 30 jours).</w:t>
            </w:r>
            <w:r>
              <w:t xml:space="preserve">-</w:t>
            </w:r>
            <w:r>
              <w:t xml:space="preserve"> </w:t>
            </w:r>
            <w:r>
              <w:rPr>
                <w:bCs/>
                <w:b/>
              </w:rPr>
              <w:t xml:space="preserve">Contractuelles</w:t>
            </w:r>
            <w:r>
              <w:t xml:space="preserve"> </w:t>
            </w:r>
            <w:r>
              <w:t xml:space="preserve">: DPA art. 28 RGPD, clauses de confidentialité imposées aux sous-traitants ultérieurs, droit d’audit du Cabinet (art. 28.3.h).</w:t>
            </w:r>
          </w:p>
        </w:tc>
      </w:tr>
    </w:tbl>
    <w:p>
      <w:r>
        <w:pict>
          <ns1:rect style="width:0;height:1.5pt" ns2:hralign="center" ns2:hrstd="t" ns2:hr="t"/>
        </w:pict>
      </w:r>
    </w:p>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PennyPilot — Accord de sous-traitance (DPA) et annexes</dc:title>
  <dc:creator>HOLCO INVEST</dc:creator>
  <cp:keywords/>
  <dcterms:created xsi:type="dcterms:W3CDTF">2026-06-02T05:11:57Z</dcterms:created>
  <dcterms:modified xsi:type="dcterms:W3CDTF">2026-06-02T05:11:57Z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Version brouillon — 2 juin 2026</vt:lpwstr>
  </property>
</Properties>
</file>